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67BFF" w14:textId="7B45FC9D" w:rsidR="00AE3531" w:rsidRDefault="00AE3531" w:rsidP="00AE3531">
      <w:pPr>
        <w:tabs>
          <w:tab w:val="clear" w:pos="3068"/>
        </w:tabs>
        <w:ind w:firstLine="0"/>
        <w:rPr>
          <w:rFonts w:cs="Times New Roman"/>
          <w:szCs w:val="22"/>
        </w:rPr>
      </w:pPr>
    </w:p>
    <w:p w14:paraId="56C28E3D" w14:textId="21C9093D" w:rsidR="000B0EA2" w:rsidRDefault="000A6DAA" w:rsidP="00967C86">
      <w:pPr>
        <w:tabs>
          <w:tab w:val="clear" w:pos="3068"/>
        </w:tabs>
        <w:ind w:firstLine="0"/>
        <w:jc w:val="center"/>
        <w:rPr>
          <w:rFonts w:cs="Times New Roman"/>
          <w:szCs w:val="22"/>
        </w:rPr>
      </w:pPr>
      <w:r w:rsidRPr="000A6DAA">
        <w:rPr>
          <w:rFonts w:cs="Times New Roman"/>
          <w:b/>
          <w:szCs w:val="22"/>
        </w:rPr>
        <w:t>A Response to Pek et al.’s Commentary on Z-Curve:</w:t>
      </w:r>
      <w:r w:rsidRPr="000A6DAA">
        <w:rPr>
          <w:rFonts w:cs="Times New Roman"/>
          <w:b/>
          <w:szCs w:val="22"/>
        </w:rPr>
        <w:br/>
        <w:t>Clarifying the Assumptions of Selection Models</w:t>
      </w:r>
    </w:p>
    <w:p w14:paraId="373F543D" w14:textId="77777777" w:rsidR="000A6DAA" w:rsidRDefault="000A6DAA" w:rsidP="00967C86">
      <w:pPr>
        <w:tabs>
          <w:tab w:val="clear" w:pos="3068"/>
        </w:tabs>
        <w:ind w:firstLine="0"/>
        <w:jc w:val="center"/>
        <w:rPr>
          <w:rFonts w:cs="Times New Roman"/>
          <w:szCs w:val="22"/>
        </w:rPr>
      </w:pPr>
    </w:p>
    <w:p w14:paraId="0B678EF8" w14:textId="43B95003" w:rsidR="00967C86" w:rsidRDefault="00967C86" w:rsidP="00967C86">
      <w:pPr>
        <w:tabs>
          <w:tab w:val="clear" w:pos="3068"/>
        </w:tabs>
        <w:ind w:firstLine="0"/>
        <w:jc w:val="center"/>
        <w:rPr>
          <w:rFonts w:cs="Times New Roman"/>
          <w:szCs w:val="22"/>
        </w:rPr>
      </w:pPr>
      <w:r>
        <w:rPr>
          <w:rFonts w:cs="Times New Roman"/>
          <w:szCs w:val="22"/>
        </w:rPr>
        <w:t>Ulrich</w:t>
      </w:r>
      <w:r w:rsidR="0017154C" w:rsidRPr="00726ABA">
        <w:rPr>
          <w:rFonts w:cs="Times New Roman"/>
          <w:szCs w:val="22"/>
        </w:rPr>
        <w:t xml:space="preserve"> </w:t>
      </w:r>
      <w:r>
        <w:rPr>
          <w:rFonts w:cs="Times New Roman"/>
          <w:szCs w:val="22"/>
        </w:rPr>
        <w:t>Schimmack</w:t>
      </w:r>
      <w:r w:rsidR="0017154C" w:rsidRPr="00726ABA">
        <w:rPr>
          <w:rFonts w:cs="Times New Roman"/>
          <w:szCs w:val="22"/>
          <w:vertAlign w:val="superscript"/>
        </w:rPr>
        <w:t>1</w:t>
      </w:r>
      <w:r w:rsidR="0017154C" w:rsidRPr="00726ABA">
        <w:rPr>
          <w:rFonts w:cs="Times New Roman"/>
          <w:szCs w:val="22"/>
        </w:rPr>
        <w:t xml:space="preserve"> and </w:t>
      </w:r>
      <w:r>
        <w:rPr>
          <w:rFonts w:cs="Times New Roman"/>
          <w:szCs w:val="22"/>
        </w:rPr>
        <w:t>Maria</w:t>
      </w:r>
      <w:r w:rsidR="0017154C" w:rsidRPr="00726ABA">
        <w:rPr>
          <w:rFonts w:cs="Times New Roman"/>
          <w:szCs w:val="22"/>
        </w:rPr>
        <w:t xml:space="preserve"> </w:t>
      </w:r>
      <w:r>
        <w:rPr>
          <w:rFonts w:cs="Times New Roman"/>
          <w:szCs w:val="22"/>
        </w:rPr>
        <w:t>D</w:t>
      </w:r>
      <w:r w:rsidR="0017154C" w:rsidRPr="00726ABA">
        <w:rPr>
          <w:rFonts w:cs="Times New Roman"/>
          <w:szCs w:val="22"/>
        </w:rPr>
        <w:t xml:space="preserve">. </w:t>
      </w:r>
      <w:r>
        <w:rPr>
          <w:rFonts w:cs="Times New Roman"/>
          <w:szCs w:val="22"/>
        </w:rPr>
        <w:t>Soto</w:t>
      </w:r>
      <w:r>
        <w:rPr>
          <w:rFonts w:cs="Times New Roman"/>
          <w:szCs w:val="22"/>
          <w:vertAlign w:val="superscript"/>
        </w:rPr>
        <w:t>1</w:t>
      </w:r>
    </w:p>
    <w:p w14:paraId="7AAF6D08" w14:textId="4E28B9AA" w:rsidR="0017154C" w:rsidRPr="00726ABA" w:rsidRDefault="0017154C" w:rsidP="00967C86">
      <w:pPr>
        <w:tabs>
          <w:tab w:val="clear" w:pos="3068"/>
        </w:tabs>
        <w:ind w:firstLine="0"/>
        <w:jc w:val="center"/>
        <w:rPr>
          <w:rFonts w:cs="Times New Roman"/>
          <w:szCs w:val="22"/>
        </w:rPr>
      </w:pPr>
      <w:r w:rsidRPr="00726ABA">
        <w:rPr>
          <w:rFonts w:cs="Times New Roman"/>
          <w:szCs w:val="22"/>
          <w:vertAlign w:val="superscript"/>
        </w:rPr>
        <w:t xml:space="preserve">1 </w:t>
      </w:r>
      <w:r w:rsidR="00967C86">
        <w:rPr>
          <w:rFonts w:cs="Times New Roman"/>
          <w:szCs w:val="22"/>
        </w:rPr>
        <w:t>University of Toronto, Mississauga</w:t>
      </w:r>
    </w:p>
    <w:p w14:paraId="4181A27B" w14:textId="77777777" w:rsidR="0017154C" w:rsidRPr="00726ABA" w:rsidRDefault="0017154C" w:rsidP="0017154C">
      <w:pPr>
        <w:tabs>
          <w:tab w:val="clear" w:pos="3068"/>
        </w:tabs>
        <w:rPr>
          <w:rFonts w:cs="Times New Roman"/>
          <w:szCs w:val="22"/>
        </w:rPr>
      </w:pPr>
    </w:p>
    <w:p w14:paraId="0388D764" w14:textId="77777777" w:rsidR="00AE6C41" w:rsidRPr="00AE6C41" w:rsidRDefault="00AE6C41" w:rsidP="00AE6C41">
      <w:pPr>
        <w:tabs>
          <w:tab w:val="clear" w:pos="3068"/>
        </w:tabs>
        <w:spacing w:line="240" w:lineRule="auto"/>
        <w:ind w:firstLine="0"/>
        <w:rPr>
          <w:rFonts w:cs="Times New Roman"/>
          <w:szCs w:val="22"/>
        </w:rPr>
      </w:pPr>
      <w:r w:rsidRPr="00AE6C41">
        <w:rPr>
          <w:rFonts w:cs="Times New Roman"/>
          <w:szCs w:val="22"/>
        </w:rPr>
        <w:t>Author Note</w:t>
      </w:r>
    </w:p>
    <w:p w14:paraId="0DF47C7E" w14:textId="43B6D128" w:rsidR="0017154C" w:rsidRPr="00726ABA" w:rsidRDefault="00AE6C41" w:rsidP="00AE6C41">
      <w:pPr>
        <w:tabs>
          <w:tab w:val="clear" w:pos="3068"/>
        </w:tabs>
        <w:spacing w:line="240" w:lineRule="auto"/>
        <w:ind w:firstLine="0"/>
        <w:rPr>
          <w:rFonts w:cs="Times New Roman"/>
          <w:szCs w:val="22"/>
        </w:rPr>
      </w:pPr>
      <w:r w:rsidRPr="00AE6C41">
        <w:rPr>
          <w:rFonts w:cs="Times New Roman"/>
          <w:szCs w:val="22"/>
        </w:rPr>
        <w:t>Correspondence concerning this article should be addressed to Ulrich Schimmack, Department of Psychology, University of Toronto Mississauga, 3359 Mississauga Road, Mississauga, ON L5L 1C6, Canada. Email: ulrich.schimmack@utoronto.ca</w:t>
      </w:r>
    </w:p>
    <w:p w14:paraId="2BD093B3" w14:textId="77777777" w:rsidR="00AE6C41" w:rsidRDefault="00AE6C41" w:rsidP="00AE6C41">
      <w:pPr>
        <w:tabs>
          <w:tab w:val="clear" w:pos="3068"/>
        </w:tabs>
        <w:spacing w:after="160" w:line="240" w:lineRule="auto"/>
        <w:ind w:firstLine="0"/>
        <w:rPr>
          <w:rFonts w:cs="Times New Roman"/>
          <w:bCs/>
          <w:szCs w:val="22"/>
          <w:lang w:val="en-CA"/>
        </w:rPr>
      </w:pPr>
    </w:p>
    <w:p w14:paraId="144429A1" w14:textId="77777777" w:rsidR="00AE6C41" w:rsidRDefault="00AE6C41" w:rsidP="00AE6C41">
      <w:pPr>
        <w:tabs>
          <w:tab w:val="clear" w:pos="3068"/>
        </w:tabs>
        <w:spacing w:after="160" w:line="240" w:lineRule="auto"/>
        <w:ind w:firstLine="0"/>
        <w:rPr>
          <w:rFonts w:cs="Times New Roman"/>
          <w:bCs/>
          <w:szCs w:val="22"/>
          <w:lang w:val="en-CA"/>
        </w:rPr>
      </w:pPr>
      <w:r w:rsidRPr="00AE6C41">
        <w:rPr>
          <w:rFonts w:cs="Times New Roman"/>
          <w:bCs/>
          <w:szCs w:val="22"/>
          <w:lang w:val="en-CA"/>
        </w:rPr>
        <w:t>Funding</w:t>
      </w:r>
      <w:r w:rsidRPr="00AE6C41">
        <w:rPr>
          <w:rFonts w:cs="Times New Roman"/>
          <w:bCs/>
          <w:szCs w:val="22"/>
          <w:lang w:val="en-CA"/>
        </w:rPr>
        <w:br/>
        <w:t>This research was supported by the Social Sciences and Humanities Research Council of Canada (SSHRC; Grant No. 523402).</w:t>
      </w:r>
    </w:p>
    <w:p w14:paraId="2CCFB30A" w14:textId="0FF7A78D" w:rsidR="00AE6C41" w:rsidRDefault="00AE6C41" w:rsidP="00AE6C41">
      <w:pPr>
        <w:tabs>
          <w:tab w:val="clear" w:pos="3068"/>
        </w:tabs>
        <w:spacing w:after="160" w:line="240" w:lineRule="auto"/>
        <w:ind w:firstLine="0"/>
        <w:rPr>
          <w:rFonts w:cs="Times New Roman"/>
          <w:bCs/>
          <w:szCs w:val="22"/>
        </w:rPr>
      </w:pPr>
      <w:r w:rsidRPr="00AE6C41">
        <w:rPr>
          <w:rFonts w:cs="Times New Roman"/>
          <w:bCs/>
          <w:szCs w:val="22"/>
        </w:rPr>
        <w:t>Conflict of Interest</w:t>
      </w:r>
      <w:r w:rsidRPr="00AE6C41">
        <w:rPr>
          <w:rFonts w:cs="Times New Roman"/>
          <w:bCs/>
          <w:szCs w:val="22"/>
        </w:rPr>
        <w:br/>
        <w:t>The authors declare that they have no financial conflicts of interest.</w:t>
      </w:r>
    </w:p>
    <w:p w14:paraId="37E922A4" w14:textId="77777777" w:rsidR="00AE6C41" w:rsidRDefault="00AE6C41" w:rsidP="00AE6C41">
      <w:pPr>
        <w:tabs>
          <w:tab w:val="clear" w:pos="3068"/>
        </w:tabs>
        <w:spacing w:after="160" w:line="240" w:lineRule="auto"/>
        <w:ind w:firstLine="0"/>
        <w:rPr>
          <w:rFonts w:cs="Times New Roman"/>
          <w:bCs/>
          <w:szCs w:val="22"/>
        </w:rPr>
      </w:pPr>
    </w:p>
    <w:p w14:paraId="72279B9C" w14:textId="77777777" w:rsidR="00AE6C41" w:rsidRDefault="00AE6C41" w:rsidP="00AE6C41">
      <w:pPr>
        <w:tabs>
          <w:tab w:val="clear" w:pos="3068"/>
        </w:tabs>
        <w:spacing w:after="160" w:line="240" w:lineRule="auto"/>
        <w:ind w:firstLine="0"/>
        <w:rPr>
          <w:rFonts w:cs="Times New Roman"/>
          <w:bCs/>
          <w:szCs w:val="22"/>
        </w:rPr>
      </w:pPr>
      <w:r w:rsidRPr="00AE6C41">
        <w:rPr>
          <w:rFonts w:cs="Times New Roman"/>
          <w:bCs/>
          <w:szCs w:val="22"/>
        </w:rPr>
        <w:t>Use of Generative AI</w:t>
      </w:r>
      <w:r w:rsidRPr="00AE6C41">
        <w:rPr>
          <w:rFonts w:cs="Times New Roman"/>
          <w:bCs/>
          <w:szCs w:val="22"/>
        </w:rPr>
        <w:br/>
      </w:r>
    </w:p>
    <w:p w14:paraId="691D1920" w14:textId="5571B52C" w:rsidR="00AE6C41" w:rsidRDefault="00AE6C41" w:rsidP="00AE6C41">
      <w:pPr>
        <w:tabs>
          <w:tab w:val="clear" w:pos="3068"/>
        </w:tabs>
        <w:spacing w:after="160" w:line="240" w:lineRule="auto"/>
        <w:ind w:firstLine="0"/>
        <w:rPr>
          <w:rFonts w:cs="Times New Roman"/>
          <w:bCs/>
          <w:szCs w:val="22"/>
        </w:rPr>
      </w:pPr>
      <w:r w:rsidRPr="00AE6C41">
        <w:rPr>
          <w:rFonts w:cs="Times New Roman"/>
          <w:bCs/>
          <w:szCs w:val="22"/>
        </w:rPr>
        <w:t xml:space="preserve">The authors used ChatGPT (OpenAI, GPT-5.2) to obtain critical comments and suggestions on an earlier draft of this manuscript. The tool was used to improve clarity, structure, and argumentation. All revisions were reviewed and implemented at the </w:t>
      </w:r>
      <w:proofErr w:type="gramStart"/>
      <w:r w:rsidRPr="00AE6C41">
        <w:rPr>
          <w:rFonts w:cs="Times New Roman"/>
          <w:bCs/>
          <w:szCs w:val="22"/>
        </w:rPr>
        <w:t>authors’</w:t>
      </w:r>
      <w:proofErr w:type="gramEnd"/>
      <w:r w:rsidRPr="00AE6C41">
        <w:rPr>
          <w:rFonts w:cs="Times New Roman"/>
          <w:bCs/>
          <w:szCs w:val="22"/>
        </w:rPr>
        <w:t xml:space="preserve"> discretion, and the authors take full responsibility for the content of the article.</w:t>
      </w:r>
    </w:p>
    <w:p w14:paraId="68AE1187" w14:textId="77777777" w:rsidR="00AE6C41" w:rsidRDefault="00AE6C41" w:rsidP="00AE6C41">
      <w:pPr>
        <w:tabs>
          <w:tab w:val="clear" w:pos="3068"/>
        </w:tabs>
        <w:spacing w:after="160" w:line="240" w:lineRule="auto"/>
        <w:ind w:firstLine="0"/>
        <w:rPr>
          <w:rFonts w:cs="Times New Roman"/>
          <w:bCs/>
          <w:szCs w:val="22"/>
        </w:rPr>
      </w:pPr>
    </w:p>
    <w:p w14:paraId="1CDE55EB" w14:textId="77777777" w:rsidR="00AE6C41" w:rsidRDefault="00AE6C41" w:rsidP="00AE6C41">
      <w:pPr>
        <w:tabs>
          <w:tab w:val="clear" w:pos="3068"/>
        </w:tabs>
        <w:spacing w:after="160" w:line="240" w:lineRule="auto"/>
        <w:ind w:firstLine="0"/>
        <w:rPr>
          <w:rFonts w:cs="Times New Roman"/>
          <w:bCs/>
          <w:szCs w:val="22"/>
        </w:rPr>
      </w:pPr>
    </w:p>
    <w:p w14:paraId="2EE9FA50" w14:textId="77777777" w:rsidR="00CC6C21" w:rsidRDefault="00CC6C21">
      <w:pPr>
        <w:tabs>
          <w:tab w:val="clear" w:pos="3068"/>
        </w:tabs>
        <w:spacing w:after="160" w:line="259" w:lineRule="auto"/>
        <w:ind w:firstLine="0"/>
        <w:rPr>
          <w:rFonts w:cs="Times New Roman"/>
          <w:b/>
          <w:szCs w:val="22"/>
        </w:rPr>
      </w:pPr>
    </w:p>
    <w:p w14:paraId="098AE949" w14:textId="092E3478" w:rsidR="001A6792" w:rsidRPr="00726ABA" w:rsidRDefault="001A6792">
      <w:pPr>
        <w:tabs>
          <w:tab w:val="clear" w:pos="3068"/>
        </w:tabs>
        <w:spacing w:after="160" w:line="259" w:lineRule="auto"/>
        <w:ind w:firstLine="0"/>
        <w:rPr>
          <w:rFonts w:cs="Times New Roman"/>
          <w:b/>
          <w:szCs w:val="22"/>
        </w:rPr>
      </w:pPr>
      <w:r w:rsidRPr="00726ABA">
        <w:rPr>
          <w:rFonts w:cs="Times New Roman"/>
          <w:b/>
          <w:szCs w:val="22"/>
        </w:rPr>
        <w:br w:type="page"/>
      </w:r>
    </w:p>
    <w:p w14:paraId="3E30800D" w14:textId="77777777" w:rsidR="0017154C" w:rsidRDefault="0017154C" w:rsidP="00726ABA">
      <w:pPr>
        <w:pStyle w:val="Heading1"/>
      </w:pPr>
      <w:r w:rsidRPr="00726ABA">
        <w:lastRenderedPageBreak/>
        <w:t>Abstract</w:t>
      </w:r>
    </w:p>
    <w:p w14:paraId="3924A06F" w14:textId="77777777" w:rsidR="004346A3" w:rsidRDefault="004346A3" w:rsidP="0017154C">
      <w:pPr>
        <w:tabs>
          <w:tab w:val="clear" w:pos="3068"/>
        </w:tabs>
        <w:ind w:firstLine="0"/>
      </w:pPr>
      <w:r w:rsidRPr="004346A3">
        <w:t>Pek et al. (2026) comment on Soto and Schimmack (2025) and raise concerns about the use of z-curve to evaluate the credibility of emotion research. Their central criticism is based on simulations showing that z-curve can overestimate the expected discovery rate when selection operates not only at the level of statistical significance but also within the set of significant results as a function of effect size. This point is correct: if researchers selectively publish larger significant effects while suppressing smaller significant ones, selection models that assume threshold-based filtering can be biased. However, this limitation is not unique to z-curve and applies equally to other selection models used in meta-analysis. More importantly, there is currently little empirical evidence for effect-size bias, while there is ample evidence of selection based on significance. Under these more realistic conditions, z-curve provides informative estimates of (a) selection bias, (b) the expected replication rate, and (c) the false positive risk. Our results also demonstrate substantial inflation of effect size estimates in traditional meta-analyses that ignore selection processes. For these reasons, we reject the recommendation to rely solely on standard meta-analytic approaches and advocate for the use of selection models to obtain more realistic estimates.</w:t>
      </w:r>
    </w:p>
    <w:p w14:paraId="3FDBE788" w14:textId="77777777" w:rsidR="0091431A" w:rsidRDefault="0091431A" w:rsidP="0017154C">
      <w:pPr>
        <w:tabs>
          <w:tab w:val="clear" w:pos="3068"/>
        </w:tabs>
        <w:ind w:firstLine="0"/>
      </w:pPr>
    </w:p>
    <w:p w14:paraId="462DCD2A" w14:textId="64700960" w:rsidR="0017154C" w:rsidRPr="00726ABA" w:rsidRDefault="0017154C" w:rsidP="0017154C">
      <w:pPr>
        <w:tabs>
          <w:tab w:val="clear" w:pos="3068"/>
        </w:tabs>
        <w:ind w:firstLine="0"/>
        <w:rPr>
          <w:rFonts w:cs="Times New Roman"/>
          <w:szCs w:val="22"/>
        </w:rPr>
      </w:pPr>
      <w:r w:rsidRPr="00726ABA">
        <w:rPr>
          <w:rFonts w:cs="Times New Roman"/>
          <w:szCs w:val="22"/>
        </w:rPr>
        <w:tab/>
      </w:r>
      <w:r w:rsidRPr="00726ABA">
        <w:rPr>
          <w:rFonts w:cs="Times New Roman"/>
          <w:i/>
          <w:szCs w:val="22"/>
        </w:rPr>
        <w:t>Keywords:</w:t>
      </w:r>
      <w:r w:rsidRPr="00726ABA">
        <w:rPr>
          <w:rFonts w:cs="Times New Roman"/>
          <w:szCs w:val="22"/>
        </w:rPr>
        <w:t xml:space="preserve"> </w:t>
      </w:r>
      <w:r w:rsidR="00AD51BF">
        <w:rPr>
          <w:rFonts w:cs="Times New Roman"/>
          <w:szCs w:val="22"/>
        </w:rPr>
        <w:t>Z-Curve, Publication Bias, Replicability, Credibility, False Positive Risk, Selection Models, Questionable Research Practices</w:t>
      </w:r>
    </w:p>
    <w:p w14:paraId="3BD0488A" w14:textId="77777777" w:rsidR="0091431A" w:rsidRDefault="0091431A" w:rsidP="004E6B89">
      <w:pPr>
        <w:tabs>
          <w:tab w:val="clear" w:pos="3068"/>
        </w:tabs>
        <w:rPr>
          <w:rFonts w:cs="Times New Roman"/>
          <w:szCs w:val="22"/>
        </w:rPr>
      </w:pPr>
    </w:p>
    <w:p w14:paraId="2FED3746" w14:textId="724E2AE3" w:rsidR="00E102C3" w:rsidRPr="00726ABA" w:rsidRDefault="00E102C3" w:rsidP="004E6B89">
      <w:pPr>
        <w:tabs>
          <w:tab w:val="clear" w:pos="3068"/>
        </w:tabs>
        <w:rPr>
          <w:rFonts w:cs="Times New Roman"/>
          <w:szCs w:val="22"/>
        </w:rPr>
      </w:pPr>
      <w:r w:rsidRPr="00726ABA">
        <w:rPr>
          <w:rFonts w:cs="Times New Roman"/>
          <w:szCs w:val="22"/>
        </w:rPr>
        <w:br w:type="page"/>
      </w:r>
    </w:p>
    <w:p w14:paraId="2D0F6FAB" w14:textId="77777777" w:rsidR="00CE3CC6" w:rsidRDefault="00CE3CC6" w:rsidP="00CE3CC6">
      <w:pPr>
        <w:tabs>
          <w:tab w:val="clear" w:pos="3068"/>
        </w:tabs>
        <w:ind w:firstLine="0"/>
        <w:jc w:val="center"/>
        <w:rPr>
          <w:rFonts w:cs="Times New Roman"/>
          <w:szCs w:val="22"/>
        </w:rPr>
      </w:pPr>
      <w:r w:rsidRPr="000A6DAA">
        <w:rPr>
          <w:rFonts w:cs="Times New Roman"/>
          <w:b/>
          <w:szCs w:val="22"/>
        </w:rPr>
        <w:lastRenderedPageBreak/>
        <w:t>A Response to Pek et al.’s Commentary on Z-Curve:</w:t>
      </w:r>
      <w:r w:rsidRPr="000A6DAA">
        <w:rPr>
          <w:rFonts w:cs="Times New Roman"/>
          <w:b/>
          <w:szCs w:val="22"/>
        </w:rPr>
        <w:br/>
        <w:t>Clarifying the Assumptions of Selection Models</w:t>
      </w:r>
    </w:p>
    <w:p w14:paraId="70F3B008" w14:textId="11FF8C34" w:rsidR="003B0D5C" w:rsidRPr="003B0D5C" w:rsidRDefault="003B0D5C" w:rsidP="003B0D5C">
      <w:pPr>
        <w:rPr>
          <w:lang w:val="en-CA"/>
        </w:rPr>
      </w:pPr>
      <w:r w:rsidRPr="003B0D5C">
        <w:rPr>
          <w:lang w:val="en-CA"/>
        </w:rPr>
        <w:t xml:space="preserve">In their recent commentary, Pek et al. (2026) raise concerns about the use of z-curve in Soto and Schimmack (2025) and about our conclusions regarding the credibility of emotion research. Many of these concerns are based on </w:t>
      </w:r>
      <w:r>
        <w:rPr>
          <w:lang w:val="en-CA"/>
        </w:rPr>
        <w:t xml:space="preserve">confusion </w:t>
      </w:r>
      <w:r w:rsidRPr="003B0D5C">
        <w:rPr>
          <w:lang w:val="en-CA"/>
        </w:rPr>
        <w:t>about the term statistical power (Soto &amp; Schimmack, 2026). To avoid this problem, we do not use the term power to refer to the probability of a study producing a significant result. For many psychologists, power is strictly limited to hypothetical power calculations before a study is conducted to plan sample sizes. This probability assumes that the null hypothesis is false, an assumption that itself can be false. The true probability of a study producing a significant result is based on unknown (latent) population effect sizes, and it is possible that some of these are zero and the null hypothesis is true. Thus, conditioning on the null hypothesis being false is purely hypothetical, and this concept of hypothetical conditional power is irrelevant for z-curve, which estimates the average true probability of a set of studies to produce significant results.</w:t>
      </w:r>
    </w:p>
    <w:p w14:paraId="7CDF3D84" w14:textId="33448932" w:rsidR="003821B2" w:rsidRDefault="007E18B8" w:rsidP="003821B2">
      <w:pPr>
        <w:pStyle w:val="Heading2"/>
      </w:pPr>
      <w:r>
        <w:t>What is the Expected Discovery Rate</w:t>
      </w:r>
      <w:r w:rsidR="000A1058">
        <w:t xml:space="preserve"> in Z-Curve?</w:t>
      </w:r>
    </w:p>
    <w:p w14:paraId="7D5AD17B" w14:textId="6FF6BF13" w:rsidR="00424D5F" w:rsidRPr="00424D5F" w:rsidRDefault="00424D5F" w:rsidP="00424D5F">
      <w:pPr>
        <w:rPr>
          <w:lang w:val="en-CA"/>
        </w:rPr>
      </w:pPr>
      <w:r w:rsidRPr="00424D5F">
        <w:rPr>
          <w:lang w:val="en-CA"/>
        </w:rPr>
        <w:t xml:space="preserve">Pek et al. state that the Expected Discovery Rate (EDR) reflects “both the average pre-data power of tests and the estimated average population effect size for studied effects” (p. 6). This </w:t>
      </w:r>
      <w:r w:rsidR="003B0D5C">
        <w:rPr>
          <w:lang w:val="en-CA"/>
        </w:rPr>
        <w:t xml:space="preserve">statement highlights the </w:t>
      </w:r>
      <w:proofErr w:type="gramStart"/>
      <w:r w:rsidR="003B0D5C">
        <w:rPr>
          <w:lang w:val="en-CA"/>
        </w:rPr>
        <w:t>aforementioned confusion</w:t>
      </w:r>
      <w:proofErr w:type="gramEnd"/>
      <w:r w:rsidR="003B0D5C">
        <w:rPr>
          <w:lang w:val="en-CA"/>
        </w:rPr>
        <w:t xml:space="preserve"> about the term power. </w:t>
      </w:r>
      <w:r w:rsidRPr="00424D5F">
        <w:rPr>
          <w:lang w:val="en-CA"/>
        </w:rPr>
        <w:t xml:space="preserve">EDR is defined </w:t>
      </w:r>
      <w:r w:rsidR="003B0D5C">
        <w:rPr>
          <w:lang w:val="en-CA"/>
        </w:rPr>
        <w:t xml:space="preserve">as the average </w:t>
      </w:r>
      <w:r w:rsidRPr="00424D5F">
        <w:rPr>
          <w:lang w:val="en-CA"/>
        </w:rPr>
        <w:t xml:space="preserve">true </w:t>
      </w:r>
      <w:r w:rsidR="003B0D5C">
        <w:rPr>
          <w:lang w:val="en-CA"/>
        </w:rPr>
        <w:t>probability of a set of studies to produce a significant result.</w:t>
      </w:r>
      <w:r w:rsidR="001D4DD4">
        <w:rPr>
          <w:lang w:val="en-CA"/>
        </w:rPr>
        <w:t xml:space="preserve"> I</w:t>
      </w:r>
      <w:r w:rsidRPr="00424D5F">
        <w:rPr>
          <w:lang w:val="en-CA"/>
        </w:rPr>
        <w:t>t does not depend on hypothetical power calculations made prior to data collection. Pre-data power, as typically computed using assumed effect sizes, is a planning tool. Once a study is conducted</w:t>
      </w:r>
      <w:r w:rsidR="003B0D5C">
        <w:rPr>
          <w:lang w:val="en-CA"/>
        </w:rPr>
        <w:t xml:space="preserve">, the only role of power was to determine the sample size that influences the probability of obtaining a significant result; larger samples have a higher probability. The hypothetical effect size of a </w:t>
      </w:r>
      <w:r w:rsidR="003B0D5C">
        <w:rPr>
          <w:lang w:val="en-CA"/>
        </w:rPr>
        <w:lastRenderedPageBreak/>
        <w:t xml:space="preserve">power calculation is not relevant. What matters is the actual population effect size </w:t>
      </w:r>
      <w:r>
        <w:rPr>
          <w:lang w:val="en-CA"/>
        </w:rPr>
        <w:t>(Soto &amp; Schimmack, 2026)</w:t>
      </w:r>
      <w:r w:rsidRPr="00424D5F">
        <w:rPr>
          <w:lang w:val="en-CA"/>
        </w:rPr>
        <w:t>.</w:t>
      </w:r>
    </w:p>
    <w:p w14:paraId="20235585" w14:textId="5B8A222F" w:rsidR="00424D5F" w:rsidRPr="00424D5F" w:rsidRDefault="00424D5F" w:rsidP="00424D5F">
      <w:pPr>
        <w:rPr>
          <w:lang w:val="en-CA"/>
        </w:rPr>
      </w:pPr>
      <w:r w:rsidRPr="00424D5F">
        <w:rPr>
          <w:lang w:val="en-CA"/>
        </w:rPr>
        <w:t xml:space="preserve">To illustrate, consider two researchers who conduct identical studies with N = 100 and the same standardized population mean difference (e.g., d = 0.5). The true </w:t>
      </w:r>
      <w:r w:rsidR="003B0D5C">
        <w:rPr>
          <w:lang w:val="en-CA"/>
        </w:rPr>
        <w:t xml:space="preserve">probability of a significant result </w:t>
      </w:r>
      <w:r w:rsidRPr="00424D5F">
        <w:rPr>
          <w:lang w:val="en-CA"/>
        </w:rPr>
        <w:t>of these studies is identical, regardless of whether one researcher assumed an effect size of d = 0.5 during planning and the other assumed d = 0.8. Differences in pre-data power calculations matter only insofar as they influence design decisions, such as sample size planning. Once a study is completed, however, its probability of producing a statistically significant result is determined by the underlying effect and sample size, not by earlier assumptions.</w:t>
      </w:r>
    </w:p>
    <w:p w14:paraId="06949048" w14:textId="269C60BC" w:rsidR="00424D5F" w:rsidRPr="00424D5F" w:rsidRDefault="00424D5F" w:rsidP="00424D5F">
      <w:pPr>
        <w:rPr>
          <w:lang w:val="en-CA"/>
        </w:rPr>
      </w:pPr>
      <w:r w:rsidRPr="00424D5F">
        <w:rPr>
          <w:lang w:val="en-CA"/>
        </w:rPr>
        <w:t xml:space="preserve">Pek et al. make a second, related claim when they describe EDR as “the long-run success rate in a series of exact replication studies” (citing Brunner &amp; Schimmack, 2020, p. 1). </w:t>
      </w:r>
      <w:r w:rsidR="003B0D5C">
        <w:rPr>
          <w:lang w:val="en-CA"/>
        </w:rPr>
        <w:t xml:space="preserve">Each study has an unknown probability of producing a significant result. A long-run study of exact replication studies with the same sample sizes would allow us to estimate this probability, just like </w:t>
      </w:r>
      <w:proofErr w:type="gramStart"/>
      <w:r w:rsidR="003B0D5C">
        <w:rPr>
          <w:lang w:val="en-CA"/>
        </w:rPr>
        <w:t>1,000 coin</w:t>
      </w:r>
      <w:proofErr w:type="gramEnd"/>
      <w:r w:rsidR="003B0D5C">
        <w:rPr>
          <w:lang w:val="en-CA"/>
        </w:rPr>
        <w:t xml:space="preserve"> flips allow us to estimate the true probability of a coin to land on one side. The EDR is </w:t>
      </w:r>
      <w:proofErr w:type="gramStart"/>
      <w:r w:rsidR="003B0D5C">
        <w:rPr>
          <w:lang w:val="en-CA"/>
        </w:rPr>
        <w:t>actually an</w:t>
      </w:r>
      <w:proofErr w:type="gramEnd"/>
      <w:r w:rsidR="003B0D5C">
        <w:rPr>
          <w:lang w:val="en-CA"/>
        </w:rPr>
        <w:t xml:space="preserve"> average of the true probabilities across studies that are likely to have different probabilities. </w:t>
      </w:r>
      <w:r w:rsidRPr="00424D5F">
        <w:rPr>
          <w:lang w:val="en-CA"/>
        </w:rPr>
        <w:t xml:space="preserve">EDR is therefore </w:t>
      </w:r>
      <w:r w:rsidR="003B0D5C">
        <w:rPr>
          <w:lang w:val="en-CA"/>
        </w:rPr>
        <w:t xml:space="preserve">an estimate of the percentage of significant results in </w:t>
      </w:r>
      <w:r w:rsidRPr="00424D5F">
        <w:rPr>
          <w:lang w:val="en-CA"/>
        </w:rPr>
        <w:t xml:space="preserve">a </w:t>
      </w:r>
      <w:r w:rsidR="003B0D5C">
        <w:rPr>
          <w:lang w:val="en-CA"/>
        </w:rPr>
        <w:t xml:space="preserve">set of </w:t>
      </w:r>
      <w:r w:rsidRPr="00424D5F">
        <w:rPr>
          <w:lang w:val="en-CA"/>
        </w:rPr>
        <w:t xml:space="preserve">heterogeneous </w:t>
      </w:r>
      <w:r w:rsidR="003B0D5C">
        <w:rPr>
          <w:lang w:val="en-CA"/>
        </w:rPr>
        <w:t>studies, such as all test results reported in the journal Cognition and Emotion.</w:t>
      </w:r>
    </w:p>
    <w:p w14:paraId="226D7DE9" w14:textId="592AFBD8" w:rsidR="003B0D5C" w:rsidRDefault="00424D5F" w:rsidP="00424D5F">
      <w:pPr>
        <w:rPr>
          <w:lang w:val="en-CA"/>
        </w:rPr>
      </w:pPr>
      <w:r w:rsidRPr="00424D5F">
        <w:rPr>
          <w:lang w:val="en-CA"/>
        </w:rPr>
        <w:t xml:space="preserve">A third misleading claim about EDR is that “because z-curve analysis infers EDR from observed p-values, EDR can be understood as a measure of average observed power.” This phrasing risks confusion with post-hoc (“observed”) power calculations </w:t>
      </w:r>
      <w:r w:rsidR="003B0D5C">
        <w:rPr>
          <w:lang w:val="en-CA"/>
        </w:rPr>
        <w:t xml:space="preserve">that rely on the effect size estimate of a sample. These estimates are noisy and should not be confused with the true probability of a significant result. Moreover, a study can show a non-zero effect size estimate, </w:t>
      </w:r>
      <w:r w:rsidR="003B0D5C">
        <w:rPr>
          <w:lang w:val="en-CA"/>
        </w:rPr>
        <w:lastRenderedPageBreak/>
        <w:t xml:space="preserve">when the true population effect size is zero. Thus, the term power should not be used for these post-hoc power calculations and the EDR should not be confused with observed power. </w:t>
      </w:r>
    </w:p>
    <w:p w14:paraId="27BD0F0F" w14:textId="4E4EE015" w:rsidR="0078629F" w:rsidRPr="0078629F" w:rsidRDefault="0078629F" w:rsidP="0078629F">
      <w:pPr>
        <w:rPr>
          <w:lang w:val="en-CA"/>
        </w:rPr>
      </w:pPr>
      <w:r w:rsidRPr="0078629F">
        <w:rPr>
          <w:lang w:val="en-CA"/>
        </w:rPr>
        <w:t xml:space="preserve">Correctly stated, the Expected Discovery Rate (EDR) is the average probability that </w:t>
      </w:r>
      <w:r w:rsidR="0036540C">
        <w:rPr>
          <w:lang w:val="en-CA"/>
        </w:rPr>
        <w:t xml:space="preserve">a set of </w:t>
      </w:r>
      <w:r w:rsidRPr="0078629F">
        <w:rPr>
          <w:lang w:val="en-CA"/>
        </w:rPr>
        <w:t xml:space="preserve">studies produce </w:t>
      </w:r>
      <w:r w:rsidR="0036540C">
        <w:rPr>
          <w:lang w:val="en-CA"/>
        </w:rPr>
        <w:t xml:space="preserve">a </w:t>
      </w:r>
      <w:r w:rsidRPr="0078629F">
        <w:rPr>
          <w:lang w:val="en-CA"/>
        </w:rPr>
        <w:t>statistically significant result. Each study has its own probability of yielding p &lt; α, determined by its true effect size and sample size. EDR is the mean of these study-specific probabilities across the population of studies in the target literature.</w:t>
      </w:r>
    </w:p>
    <w:p w14:paraId="68C6AE49" w14:textId="5FC57AE3" w:rsidR="00D24C55" w:rsidRDefault="0078629F" w:rsidP="00D24C55">
      <w:r w:rsidRPr="0078629F">
        <w:rPr>
          <w:lang w:val="en-CA"/>
        </w:rPr>
        <w:t xml:space="preserve">Brunner and Schimmack (2020) formalize this connection: the mean </w:t>
      </w:r>
      <w:r w:rsidR="0036540C">
        <w:rPr>
          <w:lang w:val="en-CA"/>
        </w:rPr>
        <w:t xml:space="preserve">probability of obtaining a significant result, P(sig), </w:t>
      </w:r>
      <w:r w:rsidRPr="0078629F">
        <w:rPr>
          <w:lang w:val="en-CA"/>
        </w:rPr>
        <w:t xml:space="preserve">determines the expected proportion of significant results, while finite-sample variability implies that the observed proportion of significant results is a noisy estimate of that underlying discovery rate. The observed success rate in a finite collection of studies therefore reflects both </w:t>
      </w:r>
      <w:r w:rsidR="0036540C">
        <w:rPr>
          <w:lang w:val="en-CA"/>
        </w:rPr>
        <w:t xml:space="preserve">P(sig) </w:t>
      </w:r>
      <w:r w:rsidRPr="0078629F">
        <w:rPr>
          <w:lang w:val="en-CA"/>
        </w:rPr>
        <w:t>and sampling variability, and it can be further distorted by selection for statistical significance. Z-curve models this selection process to estimate the underlying average probability of significance rather than relying on the inflated observed success rate.</w:t>
      </w:r>
      <w:r w:rsidR="007B574B">
        <w:rPr>
          <w:lang w:val="en-CA"/>
        </w:rPr>
        <w:t xml:space="preserve"> To summarize, hypothetical power calculations to plan studies need to be distinguished from attempts to estimate the true probability of a set of studies to produce significant results. The main distinction is that hypothetical power assumes a true hypothesis, while actual studies may include </w:t>
      </w:r>
      <w:r w:rsidR="00271D2C">
        <w:rPr>
          <w:lang w:val="en-CA"/>
        </w:rPr>
        <w:t xml:space="preserve">some true null hypotheses. </w:t>
      </w:r>
    </w:p>
    <w:p w14:paraId="5AB72169" w14:textId="27043DE1" w:rsidR="00350CDC" w:rsidRDefault="007C1C59" w:rsidP="00350CDC">
      <w:pPr>
        <w:pStyle w:val="Heading2"/>
      </w:pPr>
      <w:r>
        <w:t>Depend</w:t>
      </w:r>
      <w:r w:rsidR="00A03755">
        <w:t>e</w:t>
      </w:r>
      <w:r>
        <w:t>nc</w:t>
      </w:r>
      <w:r w:rsidR="000A70A4">
        <w:t>e</w:t>
      </w:r>
      <w:r>
        <w:t xml:space="preserve"> of Results within Articles</w:t>
      </w:r>
    </w:p>
    <w:p w14:paraId="556C7CEE" w14:textId="7687D493" w:rsidR="00D24C55" w:rsidRDefault="00D24C55" w:rsidP="00D24C55">
      <w:pPr>
        <w:rPr>
          <w:lang w:val="en-CA"/>
        </w:rPr>
      </w:pPr>
      <w:r w:rsidRPr="00D24C55">
        <w:rPr>
          <w:lang w:val="en-CA"/>
        </w:rPr>
        <w:t xml:space="preserve">It is correct that standard z-curve implementations treat each extracted test statistic, converted into a z-value, as having sampling error that is approximately standard normal with variance 1. Correlations among results arising from multiple tests reported within the same article can violate this working assumption. Accordingly, we took two steps to address potential non-independence in our target article. First, we fitted z-curve twice: once using the default </w:t>
      </w:r>
      <w:r w:rsidRPr="00D24C55">
        <w:rPr>
          <w:lang w:val="en-CA"/>
        </w:rPr>
        <w:lastRenderedPageBreak/>
        <w:t>specification and once using a clustered bootstrap that sampled only one result per article. As reported, these two approaches yielded very similar estimates, indicating that within-article dependence had minimal impact on the estimated mixture distribution. Sampling one result per article in each bootstrap iteration also eliminates unequal weighting by article, because each article contributes at most one statistic to each fitted dataset. These procedures were explicitly described in our original manuscript but are not reflected in Pek et al.’s characterization of our analyses.</w:t>
      </w:r>
    </w:p>
    <w:p w14:paraId="5E19BE7E" w14:textId="1AA1ED56" w:rsidR="00514D95" w:rsidRPr="00514D95" w:rsidRDefault="00514D95" w:rsidP="00514D95">
      <w:pPr>
        <w:ind w:firstLine="0"/>
        <w:rPr>
          <w:b/>
          <w:bCs/>
          <w:lang w:val="en-CA"/>
        </w:rPr>
      </w:pPr>
      <w:r w:rsidRPr="00514D95">
        <w:rPr>
          <w:b/>
          <w:bCs/>
          <w:lang w:val="en-CA"/>
        </w:rPr>
        <w:t>Automatic versus Hand-Coded Data</w:t>
      </w:r>
    </w:p>
    <w:p w14:paraId="18E09250" w14:textId="21C080ED" w:rsidR="00A74009" w:rsidRPr="00A74009" w:rsidRDefault="00A74009" w:rsidP="00A74009">
      <w:pPr>
        <w:rPr>
          <w:lang w:val="en-CA"/>
        </w:rPr>
      </w:pPr>
      <w:r w:rsidRPr="00A74009">
        <w:rPr>
          <w:lang w:val="en-CA"/>
        </w:rPr>
        <w:t xml:space="preserve">Pek et al. also raise concerns about reliance on scraped p-values, including rounding and threshold reporting (e.g., p &lt; .05), and their suitability for forensic meta-analysis. These concerns do not apply to our analyses because we did not rely on scraped p-values; instead, we used exact test statistics or confidence intervals to compute z-values. Pek et al. further criticize the use of automatically extracted test statistics, noting potential sources of bias. This concern has been raised previously in the literature and is well taken. Automatic extraction offers the advantage of near population-level coverage of results within a literature, but it does not, by itself, distinguish between focal tests (those bearing directly on an article’s central claims) and non-focal tests. We were explicit about this limitation and therefore supplemented analyses based on automated extraction with hand-coded focal analyses. Importantly, in Soto and Schimmack (2025), z-curve estimates were highly similar across these coding approaches, indicating that inclusion of non-focal tests did not materially alter conclusions about </w:t>
      </w:r>
      <w:r w:rsidR="00ED3BF4">
        <w:rPr>
          <w:lang w:val="en-CA"/>
        </w:rPr>
        <w:t>the EDR</w:t>
      </w:r>
      <w:r w:rsidRPr="00A74009">
        <w:rPr>
          <w:lang w:val="en-CA"/>
        </w:rPr>
        <w:t xml:space="preserve">. The robustness of </w:t>
      </w:r>
      <w:r w:rsidR="00ED3BF4">
        <w:rPr>
          <w:lang w:val="en-CA"/>
        </w:rPr>
        <w:t xml:space="preserve">results </w:t>
      </w:r>
      <w:r w:rsidRPr="00A74009">
        <w:rPr>
          <w:lang w:val="en-CA"/>
        </w:rPr>
        <w:t xml:space="preserve">for focal and non-focal tests is consistent with Cohen’s (1962) classic assessment of </w:t>
      </w:r>
      <w:r w:rsidR="00ED3BF4">
        <w:rPr>
          <w:lang w:val="en-CA"/>
        </w:rPr>
        <w:t xml:space="preserve">hypothetical </w:t>
      </w:r>
      <w:r w:rsidRPr="00A74009">
        <w:rPr>
          <w:lang w:val="en-CA"/>
        </w:rPr>
        <w:t xml:space="preserve">power in social psychology, which likewise reported similar </w:t>
      </w:r>
      <w:r w:rsidR="00683235">
        <w:rPr>
          <w:lang w:val="en-CA"/>
        </w:rPr>
        <w:t xml:space="preserve">results </w:t>
      </w:r>
      <w:r w:rsidRPr="00A74009">
        <w:rPr>
          <w:lang w:val="en-CA"/>
        </w:rPr>
        <w:t xml:space="preserve">for focal and non-focal tests. However, focal tests had higher success rates, replicating the historically documented pattern of </w:t>
      </w:r>
      <w:r w:rsidRPr="00A74009">
        <w:rPr>
          <w:lang w:val="en-CA"/>
        </w:rPr>
        <w:lastRenderedPageBreak/>
        <w:t xml:space="preserve">very high proportions of statistically significant results in psychology (Sterling, 1959; Sterling et al., 1995). The combination of similar </w:t>
      </w:r>
      <w:r w:rsidR="00683235">
        <w:rPr>
          <w:lang w:val="en-CA"/>
        </w:rPr>
        <w:t>EDR</w:t>
      </w:r>
      <w:r w:rsidRPr="00A74009">
        <w:rPr>
          <w:lang w:val="en-CA"/>
        </w:rPr>
        <w:t xml:space="preserve"> estimates but higher observed discovery rates for focal tests implies stronger selection for statistical significance when results bear directly on central theoretical claims.</w:t>
      </w:r>
    </w:p>
    <w:p w14:paraId="7A59D117" w14:textId="2EFFA066" w:rsidR="00A74009" w:rsidRPr="00A74009" w:rsidRDefault="00A74009" w:rsidP="00A74009">
      <w:pPr>
        <w:rPr>
          <w:lang w:val="en-CA"/>
        </w:rPr>
      </w:pPr>
      <w:r w:rsidRPr="00A74009">
        <w:rPr>
          <w:lang w:val="en-CA"/>
        </w:rPr>
        <w:t>In sum, Pek et al.’s points highlight general challenges inherent in large-scale meta-analytic work. However, these issues were explicitly considered and addressed in our target article and therefore do not undermine the conclusions drawn from our z-curve analyses. At most, they speak to standard design considerations in meta-research rather than to fundamental flaws in the z-curve approach or in our implementation of it.</w:t>
      </w:r>
    </w:p>
    <w:p w14:paraId="35C349CB" w14:textId="1FF2CE69" w:rsidR="00250AA0" w:rsidRDefault="00941484" w:rsidP="00941484">
      <w:pPr>
        <w:ind w:firstLine="0"/>
        <w:rPr>
          <w:b/>
          <w:bCs/>
        </w:rPr>
      </w:pPr>
      <w:r w:rsidRPr="00941484">
        <w:rPr>
          <w:b/>
          <w:bCs/>
        </w:rPr>
        <w:t>Assessment of Publication Bias</w:t>
      </w:r>
    </w:p>
    <w:p w14:paraId="544BF171" w14:textId="2A1E8285" w:rsidR="00514D95" w:rsidRDefault="00250AA0" w:rsidP="00250AA0">
      <w:pPr>
        <w:rPr>
          <w:lang w:val="en-CA"/>
        </w:rPr>
      </w:pPr>
      <w:r w:rsidRPr="00250AA0">
        <w:rPr>
          <w:lang w:val="en-CA"/>
        </w:rPr>
        <w:t xml:space="preserve">Pek et al. state that our “claim of selection bias in emotional research – based on observing that EDR for both journals were not contained within their respective 95% CIs for ODR – is dubious.” We disagree with this characterization. </w:t>
      </w:r>
      <w:r w:rsidR="00514D95">
        <w:rPr>
          <w:lang w:val="en-CA"/>
        </w:rPr>
        <w:t xml:space="preserve">Selection for significance in psychology has been documented and is typically called publication bias. That is, published articles contain more significant results than we would expect based on </w:t>
      </w:r>
      <w:r w:rsidR="00683235">
        <w:rPr>
          <w:lang w:val="en-CA"/>
        </w:rPr>
        <w:t xml:space="preserve">the true EDRs of these studies </w:t>
      </w:r>
      <w:r w:rsidR="00514D95">
        <w:rPr>
          <w:lang w:val="en-CA"/>
        </w:rPr>
        <w:t>Motyl et al., 2017; Open Science Collaboration, 2015; Sterling, 1959; Sterling et al.</w:t>
      </w:r>
      <w:r w:rsidR="00080888">
        <w:rPr>
          <w:lang w:val="en-CA"/>
        </w:rPr>
        <w:t xml:space="preserve">, </w:t>
      </w:r>
      <w:r w:rsidR="00514D95">
        <w:rPr>
          <w:lang w:val="en-CA"/>
        </w:rPr>
        <w:t xml:space="preserve">1995). </w:t>
      </w:r>
    </w:p>
    <w:p w14:paraId="33F4A352" w14:textId="42B5D227" w:rsidR="00250AA0" w:rsidRPr="00250AA0" w:rsidRDefault="00250AA0" w:rsidP="00250AA0">
      <w:pPr>
        <w:rPr>
          <w:lang w:val="en-CA"/>
        </w:rPr>
      </w:pPr>
      <w:r w:rsidRPr="00250AA0">
        <w:rPr>
          <w:lang w:val="en-CA"/>
        </w:rPr>
        <w:t xml:space="preserve">Evidence of selection is apparent even without reliance on z-curve estimates. A visual inspection of the distribution of reported z-values shows a clear excess of results just surpassing conventional significance thresholds relative to results just missing them, a pattern that is difficult to reconcile with unbiased reporting and cannot be explained by random sampling variability alone. Whether this discontinuity reflects selective reporting, questionable research </w:t>
      </w:r>
      <w:r w:rsidRPr="00250AA0">
        <w:rPr>
          <w:lang w:val="en-CA"/>
        </w:rPr>
        <w:lastRenderedPageBreak/>
        <w:t>practices, or a combination of both, it indicates that the published record is not a simple random sample of all conducted analyses.</w:t>
      </w:r>
    </w:p>
    <w:p w14:paraId="4B2A487F" w14:textId="4BDA5B2D" w:rsidR="00250AA0" w:rsidRPr="00250AA0" w:rsidRDefault="00250AA0" w:rsidP="00250AA0">
      <w:pPr>
        <w:rPr>
          <w:lang w:val="en-CA"/>
        </w:rPr>
      </w:pPr>
      <w:r w:rsidRPr="00250AA0">
        <w:rPr>
          <w:lang w:val="en-CA"/>
        </w:rPr>
        <w:t xml:space="preserve">The central purpose of z-curve is not merely to assert that selection exists, but to quantify what selection implies for the credibility of the published significant results by estimating the Expected Discovery Rate after accounting for selection. The discrepancy between very high observed </w:t>
      </w:r>
      <w:r w:rsidR="00683235">
        <w:rPr>
          <w:lang w:val="en-CA"/>
        </w:rPr>
        <w:t xml:space="preserve">and expected discover rates </w:t>
      </w:r>
      <w:r w:rsidRPr="00250AA0">
        <w:rPr>
          <w:lang w:val="en-CA"/>
        </w:rPr>
        <w:t xml:space="preserve">in psychological research has been documented for decades (Sterling, 1959; Cohen, 1962). Z-curve provides a principled method for translating this long-standing discrepancy into quantitative estimates of </w:t>
      </w:r>
      <w:r w:rsidR="0044363A">
        <w:rPr>
          <w:lang w:val="en-CA"/>
        </w:rPr>
        <w:t xml:space="preserve">bias </w:t>
      </w:r>
      <w:r w:rsidRPr="00250AA0">
        <w:rPr>
          <w:lang w:val="en-CA"/>
        </w:rPr>
        <w:t xml:space="preserve">under selection for statistical significance. </w:t>
      </w:r>
      <w:r w:rsidR="0044363A">
        <w:rPr>
          <w:lang w:val="en-CA"/>
        </w:rPr>
        <w:t xml:space="preserve">By quantifying the amount of bias, it </w:t>
      </w:r>
      <w:proofErr w:type="gramStart"/>
      <w:r w:rsidR="0044363A">
        <w:rPr>
          <w:lang w:val="en-CA"/>
        </w:rPr>
        <w:t>is able to</w:t>
      </w:r>
      <w:proofErr w:type="gramEnd"/>
      <w:r w:rsidR="0044363A">
        <w:rPr>
          <w:lang w:val="en-CA"/>
        </w:rPr>
        <w:t xml:space="preserve"> examine how credible published significant results are. </w:t>
      </w:r>
    </w:p>
    <w:p w14:paraId="302C0375" w14:textId="29FD611F" w:rsidR="00250AA0" w:rsidRPr="00250AA0" w:rsidRDefault="00250AA0" w:rsidP="00250AA0">
      <w:pPr>
        <w:rPr>
          <w:lang w:val="en-CA"/>
        </w:rPr>
      </w:pPr>
      <w:r w:rsidRPr="00250AA0">
        <w:rPr>
          <w:lang w:val="en-CA"/>
        </w:rPr>
        <w:t xml:space="preserve">For example, a literature containing 80 statistically significant results obtained from tests of 100 true </w:t>
      </w:r>
      <w:r w:rsidR="009E4D46">
        <w:rPr>
          <w:lang w:val="en-CA"/>
        </w:rPr>
        <w:t xml:space="preserve">alternative </w:t>
      </w:r>
      <w:r w:rsidRPr="00250AA0">
        <w:rPr>
          <w:lang w:val="en-CA"/>
        </w:rPr>
        <w:t xml:space="preserve">hypotheses </w:t>
      </w:r>
      <w:r w:rsidR="009E4D46">
        <w:rPr>
          <w:lang w:val="en-CA"/>
        </w:rPr>
        <w:t xml:space="preserve">(H1) </w:t>
      </w:r>
      <w:r w:rsidRPr="00250AA0">
        <w:rPr>
          <w:lang w:val="en-CA"/>
        </w:rPr>
        <w:t xml:space="preserve">with high average </w:t>
      </w:r>
      <w:r w:rsidR="00683235">
        <w:rPr>
          <w:lang w:val="en-CA"/>
        </w:rPr>
        <w:t xml:space="preserve">conditional </w:t>
      </w:r>
      <w:r w:rsidRPr="00250AA0">
        <w:rPr>
          <w:lang w:val="en-CA"/>
        </w:rPr>
        <w:t xml:space="preserve">power is more credible than a literature containing 300 statistically significant results obtained from testing a mixture of </w:t>
      </w:r>
      <w:r w:rsidR="00683235">
        <w:rPr>
          <w:lang w:val="en-CA"/>
        </w:rPr>
        <w:t xml:space="preserve">false positives and </w:t>
      </w:r>
      <w:r w:rsidRPr="00250AA0">
        <w:rPr>
          <w:lang w:val="en-CA"/>
        </w:rPr>
        <w:t xml:space="preserve">true </w:t>
      </w:r>
      <w:r w:rsidR="00683235">
        <w:rPr>
          <w:lang w:val="en-CA"/>
        </w:rPr>
        <w:t xml:space="preserve">positives in studies with low conditional power. </w:t>
      </w:r>
      <w:r w:rsidRPr="00250AA0">
        <w:rPr>
          <w:lang w:val="en-CA"/>
        </w:rPr>
        <w:t xml:space="preserve">Although the latter scenario produces more significant findings, a larger proportion of those findings are expected to be false positives or exaggerated effects. Z-curve is designed to distinguish between such scenarios by modeling the distribution of significant test statistics under selection and estimating the </w:t>
      </w:r>
      <w:r w:rsidR="00683235">
        <w:rPr>
          <w:lang w:val="en-CA"/>
        </w:rPr>
        <w:t xml:space="preserve">expected discovery rate. When the EDR is low either because </w:t>
      </w:r>
      <w:r w:rsidR="006C2D27">
        <w:rPr>
          <w:lang w:val="en-CA"/>
        </w:rPr>
        <w:t>many true H0 were tested or H1 were tested with low power, the false discovery risk is high</w:t>
      </w:r>
      <w:r w:rsidR="00AB7315">
        <w:rPr>
          <w:lang w:val="en-CA"/>
        </w:rPr>
        <w:t xml:space="preserve">, </w:t>
      </w:r>
      <w:r w:rsidR="006C2D27">
        <w:rPr>
          <w:lang w:val="en-CA"/>
        </w:rPr>
        <w:t xml:space="preserve">and the literature provides no credible support for the published claims. </w:t>
      </w:r>
    </w:p>
    <w:p w14:paraId="6A3483E0" w14:textId="77777777" w:rsidR="00D24C55" w:rsidRDefault="00D24C55" w:rsidP="00D24C55">
      <w:pPr>
        <w:pStyle w:val="Heading2"/>
      </w:pPr>
      <w:r>
        <w:t>Estimating the EDR based on Significant Results</w:t>
      </w:r>
    </w:p>
    <w:p w14:paraId="6C071055" w14:textId="1E09623E" w:rsidR="0054190E" w:rsidRPr="0054190E" w:rsidRDefault="0054190E" w:rsidP="0054190E">
      <w:pPr>
        <w:rPr>
          <w:lang w:val="en-CA"/>
        </w:rPr>
      </w:pPr>
      <w:r w:rsidRPr="0054190E">
        <w:rPr>
          <w:lang w:val="en-CA"/>
        </w:rPr>
        <w:t xml:space="preserve">Pek et al. claim that “simulation results further demonstrate that z-curve estimators can often be biased and inconsistent … leading to potentially misleading conclusions,” and on this </w:t>
      </w:r>
      <w:r w:rsidRPr="0054190E">
        <w:rPr>
          <w:lang w:val="en-CA"/>
        </w:rPr>
        <w:lastRenderedPageBreak/>
        <w:t>basis conclude, “Accordingly, we do not recommend using z-curve to evaluate research findings.” This general recommendation does not follow from the scope of their simulation results. First, their simulation confirms previous validation work showing that z-curve performs well when selection operates at the level of statistical significance, consistent with the extensive, openly accessible, and reproducible simulation studies accompanying the introduction of z-curve (Brunner &amp; Schimmack, 2020) and z-curve 2.0 (Bartoš &amp; Schimmack, 2022). Bias emerges only in the condition that assumes effect-size hacking, that is, selection based on the magnitude of observed effect sizes in addition to statistical significance.</w:t>
      </w:r>
    </w:p>
    <w:p w14:paraId="660A8AAE" w14:textId="5BCD48BD" w:rsidR="0054190E" w:rsidRPr="0054190E" w:rsidRDefault="0054190E" w:rsidP="0054190E">
      <w:pPr>
        <w:rPr>
          <w:lang w:val="en-CA"/>
        </w:rPr>
      </w:pPr>
      <w:r w:rsidRPr="0054190E">
        <w:rPr>
          <w:lang w:val="en-CA"/>
        </w:rPr>
        <w:t xml:space="preserve">In Pek et al.’s simulation of effect-size hacking, z-curve estimates of the ERR and EDR remain inflated relative to the true underlying values. Thus, if effect-size hacking were common in emotion research, our estimates of </w:t>
      </w:r>
      <w:r w:rsidR="009E693C">
        <w:rPr>
          <w:lang w:val="en-CA"/>
        </w:rPr>
        <w:t xml:space="preserve">the EDR </w:t>
      </w:r>
      <w:r w:rsidRPr="0054190E">
        <w:rPr>
          <w:lang w:val="en-CA"/>
        </w:rPr>
        <w:t>would be overly optimistic. However, there is little evidence that researchers systematically suppress statistically significant findings because their effect sizes are deemed too small. The sharp discontinuity in the distribution of z-values at the conventional significance threshold is more consistent with selection for statistical significance and p-hacking than with selection based on effect-size magnitude.</w:t>
      </w:r>
    </w:p>
    <w:p w14:paraId="3D773484" w14:textId="77777777" w:rsidR="0054190E" w:rsidRPr="0054190E" w:rsidRDefault="0054190E" w:rsidP="0054190E">
      <w:pPr>
        <w:rPr>
          <w:lang w:val="en-CA"/>
        </w:rPr>
      </w:pPr>
      <w:r w:rsidRPr="0054190E">
        <w:rPr>
          <w:lang w:val="en-CA"/>
        </w:rPr>
        <w:t>It is therefore important to distinguish clearly between different selection mechanisms and their implications for z-curve estimates. When selection operates primarily on statistical significance and questionable research practices are absent, z-curve estimates are approximately unbiased because the selection process aligns with the model’s assumptions. Pek et al. show that a different selection process would bias z-curve estimates, but they provide no empirical evidence that effect-size hacking characterizes the literature we analyzed.</w:t>
      </w:r>
    </w:p>
    <w:p w14:paraId="212676BC" w14:textId="690A9945" w:rsidR="0054190E" w:rsidRPr="0054190E" w:rsidRDefault="0054190E" w:rsidP="0054190E">
      <w:pPr>
        <w:rPr>
          <w:lang w:val="en-CA"/>
        </w:rPr>
      </w:pPr>
      <w:r w:rsidRPr="0054190E">
        <w:rPr>
          <w:lang w:val="en-CA"/>
        </w:rPr>
        <w:t xml:space="preserve">Pek et al. also provide no alternative strategy for addressing uncertainty about the research practices that produce inflated success rates. Their recommendation to rely on </w:t>
      </w:r>
      <w:r w:rsidRPr="0054190E">
        <w:rPr>
          <w:lang w:val="en-CA"/>
        </w:rPr>
        <w:lastRenderedPageBreak/>
        <w:t xml:space="preserve">traditional meta-analytic tools does not resolve this issue, because these methods likewise do not correct for effect-size-based selection if it were present. Under the selection mechanism imposed in their simulation, estimates from traditional meta-analyses would also be biased. Effect-size hacking, if it occurs, is therefore a general problem for meta-analytic tools rather than a specific problem for z-curve. Even if selection models can be biased under certain </w:t>
      </w:r>
      <w:proofErr w:type="spellStart"/>
      <w:r w:rsidRPr="0054190E">
        <w:rPr>
          <w:lang w:val="en-CA"/>
        </w:rPr>
        <w:t>misspecified</w:t>
      </w:r>
      <w:proofErr w:type="spellEnd"/>
      <w:r w:rsidRPr="0054190E">
        <w:rPr>
          <w:lang w:val="en-CA"/>
        </w:rPr>
        <w:t xml:space="preserve"> mechanisms, they provide more credible inferences than methods that implicitly assume the published literature is approximately unbiased. For this reason, we recommend the routine use of selection models in effect-size meta-analyses (e.g., Vevea &amp; Hedges, 1995) and Bayesian model-averaging approaches (e.g., </w:t>
      </w:r>
      <w:proofErr w:type="spellStart"/>
      <w:r w:rsidRPr="0054190E">
        <w:rPr>
          <w:lang w:val="en-CA"/>
        </w:rPr>
        <w:t>RoBMA</w:t>
      </w:r>
      <w:proofErr w:type="spellEnd"/>
      <w:r w:rsidRPr="0054190E">
        <w:rPr>
          <w:lang w:val="en-CA"/>
        </w:rPr>
        <w:t>; Bartoš et al., 2021).</w:t>
      </w:r>
    </w:p>
    <w:p w14:paraId="74DEC179" w14:textId="709EBF83" w:rsidR="00294229" w:rsidRDefault="00294229" w:rsidP="00294229">
      <w:pPr>
        <w:pStyle w:val="Heading2"/>
      </w:pPr>
      <w:r>
        <w:t>Conclusion</w:t>
      </w:r>
    </w:p>
    <w:p w14:paraId="7EB7A7D6" w14:textId="1864D045" w:rsidR="00F45896" w:rsidRPr="00F45896" w:rsidRDefault="00F45896" w:rsidP="00F45896">
      <w:pPr>
        <w:rPr>
          <w:lang w:val="en-CA"/>
        </w:rPr>
      </w:pPr>
      <w:r w:rsidRPr="00F45896">
        <w:rPr>
          <w:lang w:val="en-CA"/>
        </w:rPr>
        <w:t>We have mixed feelings (Schimmack, 2001) about Pek et al.’s commentary. On the one hand, we welcome critical evaluation of our examination of the health of emotion research. Science advances through criticism and the correction of errors when they occur. Peer review is not perfect, and post-publication commentary, whether in journals or elsewhere, plays an important role in refining scientific conclusions (e.g., Bem, 2011).</w:t>
      </w:r>
      <w:r w:rsidR="007D6E8F">
        <w:rPr>
          <w:lang w:val="en-CA"/>
        </w:rPr>
        <w:t xml:space="preserve"> </w:t>
      </w:r>
      <w:r w:rsidRPr="00F45896">
        <w:rPr>
          <w:lang w:val="en-CA"/>
        </w:rPr>
        <w:t>On the other hand, we are concerned that several inaccuracies</w:t>
      </w:r>
      <w:r w:rsidR="007D6E8F">
        <w:rPr>
          <w:lang w:val="en-CA"/>
        </w:rPr>
        <w:t>, c</w:t>
      </w:r>
      <w:r w:rsidR="003B70C6">
        <w:rPr>
          <w:lang w:val="en-CA"/>
        </w:rPr>
        <w:t xml:space="preserve">onfusing </w:t>
      </w:r>
      <w:r w:rsidRPr="00F45896">
        <w:rPr>
          <w:lang w:val="en-CA"/>
        </w:rPr>
        <w:t>definitions of key concepts</w:t>
      </w:r>
      <w:r w:rsidR="007D6E8F">
        <w:rPr>
          <w:lang w:val="en-CA"/>
        </w:rPr>
        <w:t xml:space="preserve">, and </w:t>
      </w:r>
      <w:r w:rsidRPr="00F45896">
        <w:rPr>
          <w:lang w:val="en-CA"/>
        </w:rPr>
        <w:t>the omission of our hand-coded focal analyses</w:t>
      </w:r>
      <w:r w:rsidR="007D6E8F">
        <w:rPr>
          <w:lang w:val="en-CA"/>
        </w:rPr>
        <w:t xml:space="preserve"> </w:t>
      </w:r>
      <w:r w:rsidRPr="00F45896">
        <w:rPr>
          <w:lang w:val="en-CA"/>
        </w:rPr>
        <w:t>limit the interpretability of Pek et al.’s critique.</w:t>
      </w:r>
    </w:p>
    <w:p w14:paraId="66AEB107" w14:textId="4657FB7E" w:rsidR="00F45896" w:rsidRPr="00F45896" w:rsidRDefault="00F45896" w:rsidP="00F45896">
      <w:pPr>
        <w:rPr>
          <w:lang w:val="en-CA"/>
        </w:rPr>
      </w:pPr>
      <w:r w:rsidRPr="00F45896">
        <w:rPr>
          <w:lang w:val="en-CA"/>
        </w:rPr>
        <w:t xml:space="preserve">Their simulation study raises a valid methodological point: selection models necessarily rely on assumptions about the selection process and will produce biased estimates when the true selection mechanism differs from those assumptions. If effect-size-based selection contributes substantially to publication bias, then all selection models that assume selection primarily at the significance threshold will </w:t>
      </w:r>
      <w:proofErr w:type="spellStart"/>
      <w:r w:rsidRPr="00F45896">
        <w:rPr>
          <w:lang w:val="en-CA"/>
        </w:rPr>
        <w:t>undercorrect</w:t>
      </w:r>
      <w:proofErr w:type="spellEnd"/>
      <w:r w:rsidRPr="00F45896">
        <w:rPr>
          <w:lang w:val="en-CA"/>
        </w:rPr>
        <w:t xml:space="preserve">. This observation is not controversial. However, its implications for the validity of our results depend on whether effect-size hacking meaningfully </w:t>
      </w:r>
      <w:r w:rsidRPr="00F45896">
        <w:rPr>
          <w:lang w:val="en-CA"/>
        </w:rPr>
        <w:lastRenderedPageBreak/>
        <w:t xml:space="preserve">characterizes the literature we examined. Pek et al. provide no empirical evidence that </w:t>
      </w:r>
      <w:r w:rsidR="00335C7D">
        <w:rPr>
          <w:lang w:val="en-CA"/>
        </w:rPr>
        <w:t>emotion researchers or editors make publication decisions based on the size of effect sizes.</w:t>
      </w:r>
    </w:p>
    <w:p w14:paraId="12C74AF7" w14:textId="7546A636" w:rsidR="00321109" w:rsidRDefault="00F45896" w:rsidP="008A24F5">
      <w:pPr>
        <w:rPr>
          <w:lang w:val="en-CA"/>
        </w:rPr>
      </w:pPr>
      <w:r w:rsidRPr="00F45896">
        <w:rPr>
          <w:lang w:val="en-CA"/>
        </w:rPr>
        <w:t xml:space="preserve">In contrast, there is clear evidence that selection for statistical significance has historically been pervasive in psychology. Under this more established form of bias, z-curve provides informative estimates of </w:t>
      </w:r>
      <w:r w:rsidR="009E693C">
        <w:rPr>
          <w:lang w:val="en-CA"/>
        </w:rPr>
        <w:t xml:space="preserve">the EDR, ERR, and the false discovery risk that can be used to evaluate the statistical </w:t>
      </w:r>
      <w:r w:rsidRPr="00F45896">
        <w:rPr>
          <w:lang w:val="en-CA"/>
        </w:rPr>
        <w:t xml:space="preserve">credibility of statistically significant findings. If our estimates are overly optimistic because additional selection mechanisms operate in practice, then the true credibility of the literature would be lower than we estimated—strengthening rather than weakening the case for reforms </w:t>
      </w:r>
      <w:r w:rsidR="009E693C">
        <w:rPr>
          <w:lang w:val="en-CA"/>
        </w:rPr>
        <w:t>and calls to increase sample sizes. Our results can also guide future a priori power calculations for this goal. Higher power in studies that test a true hypothesis will increase the EDR and reduce publication bias. Our historic trend analysis of the EDR show</w:t>
      </w:r>
      <w:r w:rsidR="0011799B">
        <w:rPr>
          <w:lang w:val="en-CA"/>
        </w:rPr>
        <w:t>s</w:t>
      </w:r>
      <w:r w:rsidR="009E693C">
        <w:rPr>
          <w:lang w:val="en-CA"/>
        </w:rPr>
        <w:t xml:space="preserve"> some progress, but more work needs to be done to increase the credibility of emotion research. </w:t>
      </w:r>
    </w:p>
    <w:p w14:paraId="3A6625C8" w14:textId="5D3BD0AC" w:rsidR="00983643" w:rsidRDefault="00983643" w:rsidP="008A24F5">
      <w:pPr>
        <w:rPr>
          <w:rFonts w:cs="Times New Roman"/>
          <w:b/>
          <w:szCs w:val="22"/>
        </w:rPr>
      </w:pPr>
      <w:r>
        <w:rPr>
          <w:rFonts w:cs="Times New Roman"/>
        </w:rPr>
        <w:br w:type="page"/>
      </w:r>
    </w:p>
    <w:p w14:paraId="745469F1" w14:textId="0C8A8D94" w:rsidR="00B40BBE" w:rsidRPr="00726ABA" w:rsidRDefault="00B40BBE" w:rsidP="00CC186E">
      <w:pPr>
        <w:pStyle w:val="Heading1"/>
        <w:rPr>
          <w:rFonts w:cs="Times New Roman"/>
        </w:rPr>
      </w:pPr>
      <w:r w:rsidRPr="00726ABA">
        <w:rPr>
          <w:rFonts w:cs="Times New Roman"/>
        </w:rPr>
        <w:lastRenderedPageBreak/>
        <w:t>References</w:t>
      </w:r>
    </w:p>
    <w:p w14:paraId="019B2A3E" w14:textId="707CFD41" w:rsidR="00902388" w:rsidRPr="00C05B92" w:rsidRDefault="00902388" w:rsidP="0043503F">
      <w:pPr>
        <w:tabs>
          <w:tab w:val="clear" w:pos="3068"/>
        </w:tabs>
        <w:rPr>
          <w:rFonts w:cs="Times New Roman"/>
          <w:szCs w:val="22"/>
          <w:lang w:val="de-DE"/>
        </w:rPr>
      </w:pPr>
      <w:r w:rsidRPr="00902388">
        <w:rPr>
          <w:rFonts w:cs="Times New Roman"/>
          <w:szCs w:val="22"/>
          <w:lang w:val="en-CA"/>
        </w:rPr>
        <w:t>Bartoš</w:t>
      </w:r>
      <w:r w:rsidRPr="00304FCF">
        <w:rPr>
          <w:rFonts w:cs="Times New Roman"/>
          <w:szCs w:val="22"/>
          <w:lang w:val="en-CA"/>
        </w:rPr>
        <w:t>, F., &amp; Schimmack, U. (2022).</w:t>
      </w:r>
      <w:r w:rsidR="00363BBC">
        <w:rPr>
          <w:rFonts w:cs="Times New Roman"/>
          <w:szCs w:val="22"/>
          <w:lang w:val="en-CA"/>
        </w:rPr>
        <w:t xml:space="preserve"> </w:t>
      </w:r>
      <w:r w:rsidRPr="00304FCF">
        <w:rPr>
          <w:rFonts w:cs="Times New Roman"/>
          <w:szCs w:val="22"/>
          <w:lang w:val="en-CA"/>
        </w:rPr>
        <w:t>Z-curve 2.0: Estimating replication rates and discovery rates.</w:t>
      </w:r>
      <w:r w:rsidR="00363BBC">
        <w:rPr>
          <w:rFonts w:cs="Times New Roman"/>
          <w:szCs w:val="22"/>
          <w:lang w:val="en-CA"/>
        </w:rPr>
        <w:t xml:space="preserve"> </w:t>
      </w:r>
      <w:r w:rsidRPr="00C05B92">
        <w:rPr>
          <w:rFonts w:cs="Times New Roman"/>
          <w:i/>
          <w:iCs/>
          <w:szCs w:val="22"/>
          <w:lang w:val="de-DE"/>
        </w:rPr>
        <w:t>Meta-Psychology, 6</w:t>
      </w:r>
      <w:r w:rsidRPr="00C05B92">
        <w:rPr>
          <w:rFonts w:cs="Times New Roman"/>
          <w:szCs w:val="22"/>
          <w:lang w:val="de-DE"/>
        </w:rPr>
        <w:t>, MP.2021.2720.</w:t>
      </w:r>
      <w:r w:rsidR="00363BBC" w:rsidRPr="00C05B92">
        <w:rPr>
          <w:rFonts w:cs="Times New Roman"/>
          <w:szCs w:val="22"/>
          <w:lang w:val="de-DE"/>
        </w:rPr>
        <w:t xml:space="preserve"> </w:t>
      </w:r>
      <w:r>
        <w:fldChar w:fldCharType="begin"/>
      </w:r>
      <w:r w:rsidRPr="0091431A">
        <w:rPr>
          <w:lang w:val="de-DE"/>
        </w:rPr>
        <w:instrText>HYPERLINK "https://doi.org/10.15626/MP.2021.2720" \t "_new"</w:instrText>
      </w:r>
      <w:r>
        <w:fldChar w:fldCharType="separate"/>
      </w:r>
      <w:r w:rsidRPr="00C05B92">
        <w:rPr>
          <w:rStyle w:val="Hyperlink"/>
          <w:rFonts w:cs="Times New Roman"/>
          <w:szCs w:val="22"/>
          <w:lang w:val="de-DE"/>
        </w:rPr>
        <w:t>https://doi.org/10.15626/MP.2021.2720</w:t>
      </w:r>
      <w:r>
        <w:fldChar w:fldCharType="end"/>
      </w:r>
    </w:p>
    <w:p w14:paraId="5C7B4694" w14:textId="6459F82B" w:rsidR="00902388" w:rsidRPr="00902388" w:rsidRDefault="00902388" w:rsidP="0043503F">
      <w:pPr>
        <w:tabs>
          <w:tab w:val="clear" w:pos="3068"/>
        </w:tabs>
        <w:rPr>
          <w:rFonts w:cs="Times New Roman"/>
          <w:szCs w:val="22"/>
          <w:lang w:val="en-CA"/>
        </w:rPr>
      </w:pPr>
      <w:r w:rsidRPr="00C05B92">
        <w:rPr>
          <w:rFonts w:cs="Times New Roman"/>
          <w:szCs w:val="22"/>
          <w:lang w:val="de-DE"/>
        </w:rPr>
        <w:t>Bartoš, F., Wagenmakers, E.-J., Gronau, Q. F., Dablander, F., Kiefer, C., &amp; Matzke, D. (2021).</w:t>
      </w:r>
      <w:r w:rsidR="0043503F" w:rsidRPr="00C05B92">
        <w:rPr>
          <w:rFonts w:cs="Times New Roman"/>
          <w:szCs w:val="22"/>
          <w:lang w:val="de-DE"/>
        </w:rPr>
        <w:t xml:space="preserve"> </w:t>
      </w:r>
      <w:r w:rsidRPr="00902388">
        <w:rPr>
          <w:rFonts w:cs="Times New Roman"/>
          <w:szCs w:val="22"/>
          <w:lang w:val="en-CA"/>
        </w:rPr>
        <w:t>Robust Bayesian meta-analysis: Model-averaging across complementary publication bias adjustment methods.</w:t>
      </w:r>
      <w:r w:rsidR="00821C01">
        <w:rPr>
          <w:rFonts w:cs="Times New Roman"/>
          <w:szCs w:val="22"/>
          <w:lang w:val="en-CA"/>
        </w:rPr>
        <w:t xml:space="preserve"> </w:t>
      </w:r>
      <w:r w:rsidRPr="00902388">
        <w:rPr>
          <w:rFonts w:cs="Times New Roman"/>
          <w:i/>
          <w:iCs/>
          <w:szCs w:val="22"/>
          <w:lang w:val="en-CA"/>
        </w:rPr>
        <w:t>Psychological Methods, 26</w:t>
      </w:r>
      <w:r w:rsidRPr="00902388">
        <w:rPr>
          <w:rFonts w:cs="Times New Roman"/>
          <w:szCs w:val="22"/>
          <w:lang w:val="en-CA"/>
        </w:rPr>
        <w:t>(6), 841–861.</w:t>
      </w:r>
      <w:r w:rsidR="00821C01">
        <w:rPr>
          <w:rFonts w:cs="Times New Roman"/>
          <w:szCs w:val="22"/>
          <w:lang w:val="en-CA"/>
        </w:rPr>
        <w:t xml:space="preserve"> </w:t>
      </w:r>
      <w:r w:rsidRPr="00902388">
        <w:rPr>
          <w:rFonts w:cs="Times New Roman"/>
          <w:szCs w:val="22"/>
          <w:lang w:val="en-CA"/>
        </w:rPr>
        <w:t>https://doi.org/10.1037/met0000405</w:t>
      </w:r>
    </w:p>
    <w:p w14:paraId="10DBE59C" w14:textId="4C3497A6" w:rsidR="00786F51" w:rsidRDefault="00786F51" w:rsidP="0043503F">
      <w:pPr>
        <w:tabs>
          <w:tab w:val="clear" w:pos="3068"/>
        </w:tabs>
        <w:rPr>
          <w:rFonts w:cs="Times New Roman"/>
          <w:szCs w:val="22"/>
          <w:lang w:val="en-CA"/>
        </w:rPr>
      </w:pPr>
      <w:r w:rsidRPr="00786F51">
        <w:rPr>
          <w:rFonts w:cs="Times New Roman"/>
          <w:szCs w:val="22"/>
        </w:rPr>
        <w:t xml:space="preserve">Bem, D. J. (2011). Feeling the future: Experimental evidence for </w:t>
      </w:r>
      <w:proofErr w:type="spellStart"/>
      <w:r w:rsidRPr="00786F51">
        <w:rPr>
          <w:rFonts w:cs="Times New Roman"/>
          <w:szCs w:val="22"/>
        </w:rPr>
        <w:t>anoma</w:t>
      </w:r>
      <w:proofErr w:type="spellEnd"/>
      <w:r w:rsidRPr="00786F51">
        <w:rPr>
          <w:rFonts w:cs="Times New Roman"/>
          <w:szCs w:val="22"/>
        </w:rPr>
        <w:t xml:space="preserve">- </w:t>
      </w:r>
      <w:proofErr w:type="spellStart"/>
      <w:r w:rsidRPr="00786F51">
        <w:rPr>
          <w:rFonts w:cs="Times New Roman"/>
          <w:szCs w:val="22"/>
        </w:rPr>
        <w:t>lous</w:t>
      </w:r>
      <w:proofErr w:type="spellEnd"/>
      <w:r w:rsidRPr="00786F51">
        <w:rPr>
          <w:rFonts w:cs="Times New Roman"/>
          <w:szCs w:val="22"/>
        </w:rPr>
        <w:t xml:space="preserve"> retroactive influences on cognition and affect. </w:t>
      </w:r>
      <w:r w:rsidRPr="00786F51">
        <w:rPr>
          <w:rFonts w:cs="Times New Roman"/>
          <w:i/>
          <w:iCs/>
          <w:szCs w:val="22"/>
        </w:rPr>
        <w:t>Journal of Personality and Social Psychology, 100, </w:t>
      </w:r>
      <w:r w:rsidRPr="00786F51">
        <w:rPr>
          <w:rFonts w:cs="Times New Roman"/>
          <w:szCs w:val="22"/>
        </w:rPr>
        <w:t>407– 425. </w:t>
      </w:r>
      <w:hyperlink r:id="rId8" w:history="1">
        <w:r w:rsidRPr="00786F51">
          <w:rPr>
            <w:rStyle w:val="Hyperlink"/>
            <w:rFonts w:cs="Times New Roman"/>
            <w:szCs w:val="22"/>
          </w:rPr>
          <w:t>http://dx.doi.org/10.1037/</w:t>
        </w:r>
      </w:hyperlink>
      <w:r w:rsidRPr="00786F51">
        <w:rPr>
          <w:rFonts w:cs="Times New Roman"/>
          <w:szCs w:val="22"/>
        </w:rPr>
        <w:t> </w:t>
      </w:r>
      <w:hyperlink r:id="rId9" w:history="1">
        <w:r w:rsidRPr="00786F51">
          <w:rPr>
            <w:rStyle w:val="Hyperlink"/>
            <w:rFonts w:cs="Times New Roman"/>
            <w:szCs w:val="22"/>
          </w:rPr>
          <w:t>a0021524</w:t>
        </w:r>
      </w:hyperlink>
    </w:p>
    <w:p w14:paraId="27E347EE" w14:textId="40A83A93" w:rsidR="00304FCF" w:rsidRPr="00C05B92" w:rsidRDefault="00304FCF" w:rsidP="0043503F">
      <w:pPr>
        <w:tabs>
          <w:tab w:val="clear" w:pos="3068"/>
        </w:tabs>
        <w:rPr>
          <w:rFonts w:cs="Times New Roman"/>
          <w:szCs w:val="22"/>
          <w:lang w:val="de-DE"/>
        </w:rPr>
      </w:pPr>
      <w:r w:rsidRPr="00304FCF">
        <w:rPr>
          <w:rFonts w:cs="Times New Roman"/>
          <w:szCs w:val="22"/>
          <w:lang w:val="en-CA"/>
        </w:rPr>
        <w:t>Brunner, J., &amp; Schimmack, U. (2020).</w:t>
      </w:r>
      <w:r w:rsidR="00821C01">
        <w:rPr>
          <w:rFonts w:cs="Times New Roman"/>
          <w:szCs w:val="22"/>
          <w:lang w:val="en-CA"/>
        </w:rPr>
        <w:t xml:space="preserve"> </w:t>
      </w:r>
      <w:r w:rsidRPr="00304FCF">
        <w:rPr>
          <w:rFonts w:cs="Times New Roman"/>
          <w:szCs w:val="22"/>
          <w:lang w:val="en-CA"/>
        </w:rPr>
        <w:t>Estimating population mean power under conditions of heterogeneity and selection for significance.</w:t>
      </w:r>
      <w:r w:rsidR="00821C01">
        <w:rPr>
          <w:rFonts w:cs="Times New Roman"/>
          <w:szCs w:val="22"/>
          <w:lang w:val="en-CA"/>
        </w:rPr>
        <w:t xml:space="preserve"> </w:t>
      </w:r>
      <w:r w:rsidRPr="00C05B92">
        <w:rPr>
          <w:rFonts w:cs="Times New Roman"/>
          <w:i/>
          <w:iCs/>
          <w:szCs w:val="22"/>
          <w:lang w:val="de-DE"/>
        </w:rPr>
        <w:t>Meta-Psychology, 4</w:t>
      </w:r>
      <w:r w:rsidRPr="00C05B92">
        <w:rPr>
          <w:rFonts w:cs="Times New Roman"/>
          <w:szCs w:val="22"/>
          <w:lang w:val="de-DE"/>
        </w:rPr>
        <w:t>, MP.2018.874.</w:t>
      </w:r>
      <w:r w:rsidRPr="00C05B92">
        <w:rPr>
          <w:rFonts w:cs="Times New Roman"/>
          <w:szCs w:val="22"/>
          <w:lang w:val="de-DE"/>
        </w:rPr>
        <w:br/>
        <w:t>https://doi.org/10.15626/MP.2018.874</w:t>
      </w:r>
    </w:p>
    <w:p w14:paraId="5F79487B" w14:textId="77777777" w:rsidR="007C760B" w:rsidRDefault="007C760B" w:rsidP="007C760B">
      <w:pPr>
        <w:tabs>
          <w:tab w:val="clear" w:pos="3068"/>
        </w:tabs>
        <w:rPr>
          <w:rFonts w:cs="Times New Roman"/>
          <w:szCs w:val="22"/>
          <w:lang w:val="en-CA"/>
        </w:rPr>
      </w:pPr>
      <w:r w:rsidRPr="00C05B92">
        <w:rPr>
          <w:rFonts w:cs="Times New Roman"/>
          <w:szCs w:val="22"/>
          <w:lang w:val="de-DE"/>
        </w:rPr>
        <w:t xml:space="preserve">Chen, L., Benjamin, R., Guo, Y., Lai, A., &amp; Heine, S. J. (2025). </w:t>
      </w:r>
      <w:r w:rsidRPr="009727F3">
        <w:rPr>
          <w:rFonts w:cs="Times New Roman"/>
          <w:szCs w:val="22"/>
        </w:rPr>
        <w:t>Managing the terror of publication bias: A systematic review of the mortality salience hypothesis.</w:t>
      </w:r>
      <w:r>
        <w:rPr>
          <w:rFonts w:cs="Times New Roman"/>
          <w:szCs w:val="22"/>
        </w:rPr>
        <w:t xml:space="preserve"> </w:t>
      </w:r>
      <w:r w:rsidRPr="009727F3">
        <w:rPr>
          <w:rFonts w:cs="Times New Roman"/>
          <w:i/>
          <w:iCs/>
          <w:szCs w:val="22"/>
        </w:rPr>
        <w:t>Journal of Personality and Social Psychology, 129</w:t>
      </w:r>
      <w:r w:rsidRPr="009727F3">
        <w:rPr>
          <w:rFonts w:cs="Times New Roman"/>
          <w:szCs w:val="22"/>
        </w:rPr>
        <w:t>(1), 20–41.</w:t>
      </w:r>
      <w:r>
        <w:rPr>
          <w:rFonts w:cs="Times New Roman"/>
          <w:szCs w:val="22"/>
        </w:rPr>
        <w:t xml:space="preserve"> </w:t>
      </w:r>
      <w:hyperlink r:id="rId10" w:tgtFrame="_blank" w:history="1">
        <w:r w:rsidRPr="009727F3">
          <w:rPr>
            <w:rStyle w:val="Hyperlink"/>
            <w:rFonts w:cs="Times New Roman"/>
            <w:szCs w:val="22"/>
          </w:rPr>
          <w:t>https://doi.org/10.1037/pspa0000438</w:t>
        </w:r>
      </w:hyperlink>
    </w:p>
    <w:p w14:paraId="554B372C" w14:textId="1C38F745" w:rsidR="00304FCF" w:rsidRDefault="00304FCF" w:rsidP="0043503F">
      <w:pPr>
        <w:tabs>
          <w:tab w:val="clear" w:pos="3068"/>
        </w:tabs>
      </w:pPr>
      <w:r w:rsidRPr="00304FCF">
        <w:rPr>
          <w:rFonts w:cs="Times New Roman"/>
          <w:szCs w:val="22"/>
          <w:lang w:val="en-CA"/>
        </w:rPr>
        <w:t>Cohen, J. (1962).</w:t>
      </w:r>
      <w:r w:rsidR="00821C01">
        <w:rPr>
          <w:rFonts w:cs="Times New Roman"/>
          <w:szCs w:val="22"/>
          <w:lang w:val="en-CA"/>
        </w:rPr>
        <w:t xml:space="preserve"> </w:t>
      </w:r>
      <w:r w:rsidRPr="00304FCF">
        <w:rPr>
          <w:rFonts w:cs="Times New Roman"/>
          <w:szCs w:val="22"/>
          <w:lang w:val="en-CA"/>
        </w:rPr>
        <w:t>The statistical power of abnormal-social psychological research: A review.</w:t>
      </w:r>
      <w:r w:rsidR="0043503F">
        <w:rPr>
          <w:rFonts w:cs="Times New Roman"/>
          <w:szCs w:val="22"/>
          <w:lang w:val="en-CA"/>
        </w:rPr>
        <w:t xml:space="preserve"> </w:t>
      </w:r>
      <w:r w:rsidRPr="00304FCF">
        <w:rPr>
          <w:rFonts w:cs="Times New Roman"/>
          <w:i/>
          <w:iCs/>
          <w:szCs w:val="22"/>
          <w:lang w:val="en-CA"/>
        </w:rPr>
        <w:t>Journal of Abnormal and Social Psychology, 65</w:t>
      </w:r>
      <w:r w:rsidRPr="00304FCF">
        <w:rPr>
          <w:rFonts w:cs="Times New Roman"/>
          <w:szCs w:val="22"/>
          <w:lang w:val="en-CA"/>
        </w:rPr>
        <w:t>(3), 145–153.</w:t>
      </w:r>
      <w:r w:rsidR="00821C01">
        <w:rPr>
          <w:rFonts w:cs="Times New Roman"/>
          <w:szCs w:val="22"/>
          <w:lang w:val="en-CA"/>
        </w:rPr>
        <w:t xml:space="preserve"> </w:t>
      </w:r>
      <w:hyperlink r:id="rId11" w:history="1">
        <w:r w:rsidR="002545E4" w:rsidRPr="003F1D5B">
          <w:rPr>
            <w:rStyle w:val="Hyperlink"/>
            <w:rFonts w:cs="Times New Roman"/>
            <w:szCs w:val="22"/>
            <w:lang w:val="en-CA"/>
          </w:rPr>
          <w:t>https://doi.org/10.1037/h0045186</w:t>
        </w:r>
      </w:hyperlink>
    </w:p>
    <w:p w14:paraId="71437513" w14:textId="57A30426" w:rsidR="00554ED1" w:rsidRDefault="00554ED1" w:rsidP="0043503F">
      <w:pPr>
        <w:tabs>
          <w:tab w:val="clear" w:pos="3068"/>
        </w:tabs>
        <w:rPr>
          <w:rFonts w:cs="Times New Roman"/>
          <w:szCs w:val="22"/>
        </w:rPr>
      </w:pPr>
      <w:r w:rsidRPr="00554ED1">
        <w:rPr>
          <w:rFonts w:cs="Times New Roman"/>
          <w:szCs w:val="22"/>
        </w:rPr>
        <w:t xml:space="preserve">Motyl, M., Demos, A. P., Carsel, T. S., Hanson, B. E., Melton, Z. J., Mueller, A. B., . . . </w:t>
      </w:r>
      <w:proofErr w:type="spellStart"/>
      <w:r w:rsidRPr="00554ED1">
        <w:rPr>
          <w:rFonts w:cs="Times New Roman"/>
          <w:szCs w:val="22"/>
        </w:rPr>
        <w:t>Skitka</w:t>
      </w:r>
      <w:proofErr w:type="spellEnd"/>
      <w:r w:rsidRPr="00554ED1">
        <w:rPr>
          <w:rFonts w:cs="Times New Roman"/>
          <w:szCs w:val="22"/>
        </w:rPr>
        <w:t>, L. J. (2017). The state of social and personality science: Rotten to the core, not so bad, getting better, or getting worse?</w:t>
      </w:r>
      <w:r w:rsidR="0037112F">
        <w:rPr>
          <w:rFonts w:cs="Times New Roman"/>
          <w:szCs w:val="22"/>
        </w:rPr>
        <w:t xml:space="preserve"> </w:t>
      </w:r>
      <w:r w:rsidRPr="00554ED1">
        <w:rPr>
          <w:rFonts w:cs="Times New Roman"/>
          <w:i/>
          <w:iCs/>
          <w:szCs w:val="22"/>
        </w:rPr>
        <w:t>Journal of Personality</w:t>
      </w:r>
      <w:r w:rsidR="0037112F">
        <w:rPr>
          <w:rFonts w:cs="Times New Roman"/>
          <w:i/>
          <w:iCs/>
          <w:szCs w:val="22"/>
        </w:rPr>
        <w:t xml:space="preserve"> </w:t>
      </w:r>
      <w:r w:rsidRPr="00554ED1">
        <w:rPr>
          <w:rFonts w:cs="Times New Roman"/>
          <w:i/>
          <w:iCs/>
          <w:szCs w:val="22"/>
        </w:rPr>
        <w:t>and Social Psychology, 113,</w:t>
      </w:r>
      <w:r w:rsidR="0037112F">
        <w:rPr>
          <w:rFonts w:cs="Times New Roman"/>
          <w:i/>
          <w:iCs/>
          <w:szCs w:val="22"/>
        </w:rPr>
        <w:t xml:space="preserve"> </w:t>
      </w:r>
      <w:r w:rsidRPr="00554ED1">
        <w:rPr>
          <w:rFonts w:cs="Times New Roman"/>
          <w:szCs w:val="22"/>
        </w:rPr>
        <w:t>34 –58.</w:t>
      </w:r>
      <w:r w:rsidR="0037112F">
        <w:rPr>
          <w:rFonts w:cs="Times New Roman"/>
          <w:szCs w:val="22"/>
        </w:rPr>
        <w:t xml:space="preserve"> </w:t>
      </w:r>
      <w:hyperlink r:id="rId12" w:history="1">
        <w:r w:rsidRPr="00554ED1">
          <w:rPr>
            <w:rStyle w:val="Hyperlink"/>
            <w:rFonts w:cs="Times New Roman"/>
            <w:szCs w:val="22"/>
          </w:rPr>
          <w:t>http://dx.doi.org/10.1037/pspa0000084</w:t>
        </w:r>
      </w:hyperlink>
    </w:p>
    <w:p w14:paraId="1B704A15" w14:textId="6AA25929" w:rsidR="00514D95" w:rsidRDefault="00514D95" w:rsidP="0043503F">
      <w:pPr>
        <w:tabs>
          <w:tab w:val="clear" w:pos="3068"/>
        </w:tabs>
        <w:rPr>
          <w:rFonts w:cs="Times New Roman"/>
          <w:szCs w:val="22"/>
          <w:lang w:val="en-CA"/>
        </w:rPr>
      </w:pPr>
      <w:r w:rsidRPr="00514D95">
        <w:rPr>
          <w:rFonts w:cs="Times New Roman"/>
          <w:szCs w:val="22"/>
        </w:rPr>
        <w:lastRenderedPageBreak/>
        <w:t>Open Science Collaboration (OSC). (2015). Estimating the reproducibility of psychological science. </w:t>
      </w:r>
      <w:r w:rsidRPr="00514D95">
        <w:rPr>
          <w:rFonts w:cs="Times New Roman"/>
          <w:i/>
          <w:iCs/>
          <w:szCs w:val="22"/>
        </w:rPr>
        <w:t>Science, 349, </w:t>
      </w:r>
      <w:r w:rsidRPr="00514D95">
        <w:rPr>
          <w:rFonts w:cs="Times New Roman"/>
          <w:szCs w:val="22"/>
        </w:rPr>
        <w:t>aac4716. </w:t>
      </w:r>
      <w:hyperlink r:id="rId13" w:history="1">
        <w:r w:rsidRPr="00514D95">
          <w:rPr>
            <w:rStyle w:val="Hyperlink"/>
            <w:rFonts w:cs="Times New Roman"/>
            <w:szCs w:val="22"/>
          </w:rPr>
          <w:t>http://dx.doi.org/10.1126/science.aac4716</w:t>
        </w:r>
      </w:hyperlink>
    </w:p>
    <w:p w14:paraId="1277DCF1" w14:textId="7AAC4246" w:rsidR="002545E4" w:rsidRPr="00304FCF" w:rsidRDefault="002545E4" w:rsidP="0043503F">
      <w:pPr>
        <w:tabs>
          <w:tab w:val="clear" w:pos="3068"/>
        </w:tabs>
        <w:rPr>
          <w:rFonts w:cs="Times New Roman"/>
          <w:szCs w:val="22"/>
          <w:lang w:val="en-CA"/>
        </w:rPr>
      </w:pPr>
      <w:r w:rsidRPr="002545E4">
        <w:rPr>
          <w:rFonts w:cs="Times New Roman"/>
          <w:szCs w:val="22"/>
          <w:lang w:val="en-CA"/>
        </w:rPr>
        <w:t xml:space="preserve">Pek, J., Wu, H., Liu, Y., Dusenbery, K. J., &amp; Wegener, D. T. (2026). What does a Z-curve analysis tell us? </w:t>
      </w:r>
      <w:r w:rsidRPr="0052667F">
        <w:rPr>
          <w:rFonts w:cs="Times New Roman"/>
          <w:i/>
          <w:iCs/>
          <w:szCs w:val="22"/>
          <w:lang w:val="en-CA"/>
        </w:rPr>
        <w:t xml:space="preserve">Cognition &amp; </w:t>
      </w:r>
      <w:r w:rsidR="0052667F" w:rsidRPr="0052667F">
        <w:rPr>
          <w:rFonts w:cs="Times New Roman"/>
          <w:i/>
          <w:iCs/>
          <w:szCs w:val="22"/>
          <w:lang w:val="en-CA"/>
        </w:rPr>
        <w:t>E</w:t>
      </w:r>
      <w:r w:rsidRPr="0052667F">
        <w:rPr>
          <w:rFonts w:cs="Times New Roman"/>
          <w:i/>
          <w:iCs/>
          <w:szCs w:val="22"/>
          <w:lang w:val="en-CA"/>
        </w:rPr>
        <w:t>motion, 1–16</w:t>
      </w:r>
      <w:r w:rsidRPr="002545E4">
        <w:rPr>
          <w:rFonts w:cs="Times New Roman"/>
          <w:szCs w:val="22"/>
          <w:lang w:val="en-CA"/>
        </w:rPr>
        <w:t>. Advance online publication. https://doi.org/10.1080/02699931.2026.2613139</w:t>
      </w:r>
    </w:p>
    <w:p w14:paraId="5A530426" w14:textId="53681F9B" w:rsidR="00484B9C" w:rsidRDefault="00484B9C" w:rsidP="0043503F">
      <w:pPr>
        <w:tabs>
          <w:tab w:val="clear" w:pos="3068"/>
        </w:tabs>
        <w:rPr>
          <w:rFonts w:cs="Times New Roman"/>
          <w:szCs w:val="22"/>
          <w:lang w:val="en-CA"/>
        </w:rPr>
      </w:pPr>
      <w:r w:rsidRPr="00484B9C">
        <w:rPr>
          <w:rFonts w:cs="Times New Roman"/>
          <w:szCs w:val="22"/>
        </w:rPr>
        <w:t>Schimmack, U. (2001). Pleasure, displeasure, and mixed feelings: Are semantic opposites mutually exclusive? </w:t>
      </w:r>
      <w:r w:rsidRPr="00484B9C">
        <w:rPr>
          <w:rFonts w:cs="Times New Roman"/>
          <w:i/>
          <w:iCs/>
          <w:szCs w:val="22"/>
        </w:rPr>
        <w:t>Cognition and Emotion, 15</w:t>
      </w:r>
      <w:r w:rsidRPr="00484B9C">
        <w:rPr>
          <w:rFonts w:cs="Times New Roman"/>
          <w:szCs w:val="22"/>
        </w:rPr>
        <w:t>(1), 81–97.</w:t>
      </w:r>
      <w:r w:rsidR="0043503F">
        <w:rPr>
          <w:rFonts w:cs="Times New Roman"/>
          <w:szCs w:val="22"/>
        </w:rPr>
        <w:t xml:space="preserve"> </w:t>
      </w:r>
      <w:hyperlink r:id="rId14" w:tgtFrame="_blank" w:history="1">
        <w:r w:rsidRPr="00484B9C">
          <w:rPr>
            <w:rStyle w:val="Hyperlink"/>
            <w:rFonts w:cs="Times New Roman"/>
            <w:szCs w:val="22"/>
          </w:rPr>
          <w:t>https://doi.org/10.1080/0269993004200123</w:t>
        </w:r>
      </w:hyperlink>
    </w:p>
    <w:p w14:paraId="018922C0" w14:textId="16B2EBE1" w:rsidR="00304FCF" w:rsidRPr="00304FCF" w:rsidRDefault="00304FCF" w:rsidP="0043503F">
      <w:pPr>
        <w:tabs>
          <w:tab w:val="clear" w:pos="3068"/>
        </w:tabs>
        <w:rPr>
          <w:rFonts w:cs="Times New Roman"/>
          <w:szCs w:val="22"/>
          <w:lang w:val="en-CA"/>
        </w:rPr>
      </w:pPr>
      <w:r w:rsidRPr="00304FCF">
        <w:rPr>
          <w:rFonts w:cs="Times New Roman"/>
          <w:szCs w:val="22"/>
          <w:lang w:val="en-CA"/>
        </w:rPr>
        <w:t>Schimmack, U. (2012).</w:t>
      </w:r>
      <w:r w:rsidR="00821C01">
        <w:rPr>
          <w:rFonts w:cs="Times New Roman"/>
          <w:szCs w:val="22"/>
          <w:lang w:val="en-CA"/>
        </w:rPr>
        <w:t xml:space="preserve"> </w:t>
      </w:r>
      <w:r w:rsidRPr="00304FCF">
        <w:rPr>
          <w:rFonts w:cs="Times New Roman"/>
          <w:szCs w:val="22"/>
          <w:lang w:val="en-CA"/>
        </w:rPr>
        <w:t>The ironic effect of significant results on the credibility of multiple-study publications.</w:t>
      </w:r>
      <w:r w:rsidR="00821C01">
        <w:rPr>
          <w:rFonts w:cs="Times New Roman"/>
          <w:szCs w:val="22"/>
          <w:lang w:val="en-CA"/>
        </w:rPr>
        <w:t xml:space="preserve"> </w:t>
      </w:r>
      <w:r w:rsidRPr="00304FCF">
        <w:rPr>
          <w:rFonts w:cs="Times New Roman"/>
          <w:i/>
          <w:iCs/>
          <w:szCs w:val="22"/>
          <w:lang w:val="en-CA"/>
        </w:rPr>
        <w:t>Psychological Methods, 17</w:t>
      </w:r>
      <w:r w:rsidRPr="00304FCF">
        <w:rPr>
          <w:rFonts w:cs="Times New Roman"/>
          <w:szCs w:val="22"/>
          <w:lang w:val="en-CA"/>
        </w:rPr>
        <w:t>(4), 551–566.</w:t>
      </w:r>
      <w:r w:rsidR="00821C01">
        <w:rPr>
          <w:rFonts w:cs="Times New Roman"/>
          <w:szCs w:val="22"/>
          <w:lang w:val="en-CA"/>
        </w:rPr>
        <w:t xml:space="preserve"> </w:t>
      </w:r>
      <w:hyperlink r:id="rId15" w:tgtFrame="_new" w:history="1">
        <w:r w:rsidRPr="00304FCF">
          <w:rPr>
            <w:rStyle w:val="Hyperlink"/>
            <w:rFonts w:cs="Times New Roman"/>
            <w:szCs w:val="22"/>
            <w:lang w:val="en-CA"/>
          </w:rPr>
          <w:t>https://doi.org/10.1037/a0029487</w:t>
        </w:r>
      </w:hyperlink>
      <w:r w:rsidR="00821C01">
        <w:t xml:space="preserve"> </w:t>
      </w:r>
    </w:p>
    <w:p w14:paraId="0506C36B" w14:textId="31DB64FC" w:rsidR="00304FCF" w:rsidRPr="00304FCF" w:rsidRDefault="00304FCF" w:rsidP="0043503F">
      <w:pPr>
        <w:tabs>
          <w:tab w:val="clear" w:pos="3068"/>
        </w:tabs>
        <w:rPr>
          <w:rFonts w:cs="Times New Roman"/>
          <w:szCs w:val="22"/>
          <w:lang w:val="en-CA"/>
        </w:rPr>
      </w:pPr>
      <w:r w:rsidRPr="0091431A">
        <w:rPr>
          <w:rFonts w:cs="Times New Roman"/>
          <w:szCs w:val="22"/>
          <w:lang w:val="en-CA"/>
        </w:rPr>
        <w:t>Soto, C. J., &amp; Schimmack, U. (2025).</w:t>
      </w:r>
      <w:r w:rsidR="00821C01" w:rsidRPr="0091431A">
        <w:rPr>
          <w:rFonts w:cs="Times New Roman"/>
          <w:szCs w:val="22"/>
          <w:lang w:val="en-CA"/>
        </w:rPr>
        <w:t xml:space="preserve"> </w:t>
      </w:r>
      <w:r w:rsidRPr="00304FCF">
        <w:rPr>
          <w:rFonts w:cs="Times New Roman"/>
          <w:szCs w:val="22"/>
          <w:lang w:val="en-CA"/>
        </w:rPr>
        <w:t xml:space="preserve">Credibility of results in emotion science: A z-curve analysis of results in the journals </w:t>
      </w:r>
      <w:r w:rsidRPr="00304FCF">
        <w:rPr>
          <w:rFonts w:cs="Times New Roman"/>
          <w:i/>
          <w:iCs/>
          <w:szCs w:val="22"/>
          <w:lang w:val="en-CA"/>
        </w:rPr>
        <w:t>Cognition &amp; Emotion</w:t>
      </w:r>
      <w:r w:rsidRPr="00304FCF">
        <w:rPr>
          <w:rFonts w:cs="Times New Roman"/>
          <w:szCs w:val="22"/>
          <w:lang w:val="en-CA"/>
        </w:rPr>
        <w:t xml:space="preserve"> and </w:t>
      </w:r>
      <w:r w:rsidRPr="00304FCF">
        <w:rPr>
          <w:rFonts w:cs="Times New Roman"/>
          <w:i/>
          <w:iCs/>
          <w:szCs w:val="22"/>
          <w:lang w:val="en-CA"/>
        </w:rPr>
        <w:t>Emotion</w:t>
      </w:r>
      <w:r w:rsidRPr="00304FCF">
        <w:rPr>
          <w:rFonts w:cs="Times New Roman"/>
          <w:szCs w:val="22"/>
          <w:lang w:val="en-CA"/>
        </w:rPr>
        <w:t>.</w:t>
      </w:r>
      <w:r w:rsidRPr="00304FCF">
        <w:rPr>
          <w:rFonts w:cs="Times New Roman"/>
          <w:szCs w:val="22"/>
          <w:lang w:val="en-CA"/>
        </w:rPr>
        <w:br/>
      </w:r>
      <w:r w:rsidRPr="00304FCF">
        <w:rPr>
          <w:rFonts w:cs="Times New Roman"/>
          <w:i/>
          <w:iCs/>
          <w:szCs w:val="22"/>
          <w:lang w:val="en-CA"/>
        </w:rPr>
        <w:t xml:space="preserve">Cognition &amp; </w:t>
      </w:r>
      <w:proofErr w:type="gramStart"/>
      <w:r w:rsidRPr="00304FCF">
        <w:rPr>
          <w:rFonts w:cs="Times New Roman"/>
          <w:i/>
          <w:iCs/>
          <w:szCs w:val="22"/>
          <w:lang w:val="en-CA"/>
        </w:rPr>
        <w:t>Emotion</w:t>
      </w:r>
      <w:r w:rsidRPr="00304FCF">
        <w:rPr>
          <w:rFonts w:cs="Times New Roman"/>
          <w:szCs w:val="22"/>
          <w:lang w:val="en-CA"/>
        </w:rPr>
        <w:t>.[</w:t>
      </w:r>
      <w:proofErr w:type="gramEnd"/>
      <w:r w:rsidRPr="00304FCF">
        <w:rPr>
          <w:rFonts w:cs="Times New Roman"/>
          <w:szCs w:val="22"/>
          <w:lang w:val="en-CA"/>
        </w:rPr>
        <w:t>Advance online publication – fill in volume/pages at proof stage]</w:t>
      </w:r>
    </w:p>
    <w:p w14:paraId="57D4ACF9" w14:textId="741D136C" w:rsidR="003F51A3" w:rsidRDefault="00304FCF" w:rsidP="0043503F">
      <w:pPr>
        <w:tabs>
          <w:tab w:val="clear" w:pos="3068"/>
        </w:tabs>
        <w:rPr>
          <w:rFonts w:cs="Times New Roman"/>
          <w:szCs w:val="22"/>
          <w:lang w:val="en-CA"/>
        </w:rPr>
      </w:pPr>
      <w:r w:rsidRPr="00C05B92">
        <w:rPr>
          <w:rFonts w:cs="Times New Roman"/>
          <w:szCs w:val="22"/>
          <w:lang w:val="de-DE"/>
        </w:rPr>
        <w:t>Soto, C. J., &amp; Schimmack, U. (2026).</w:t>
      </w:r>
      <w:r w:rsidR="003F51A3" w:rsidRPr="00C05B92">
        <w:rPr>
          <w:rFonts w:cs="Times New Roman"/>
          <w:szCs w:val="22"/>
          <w:lang w:val="de-DE"/>
        </w:rPr>
        <w:t xml:space="preserve"> </w:t>
      </w:r>
      <w:r w:rsidR="003F51A3">
        <w:rPr>
          <w:rFonts w:cs="Times New Roman"/>
          <w:szCs w:val="22"/>
          <w:lang w:val="en-CA"/>
        </w:rPr>
        <w:t xml:space="preserve">An average power primer: Clarifying misconceptions about average power and replicability. Meta-Psychology. in press.  </w:t>
      </w:r>
      <w:hyperlink r:id="rId16" w:history="1">
        <w:r w:rsidR="003F51A3" w:rsidRPr="003F1D5B">
          <w:rPr>
            <w:rStyle w:val="Hyperlink"/>
            <w:rFonts w:cs="Times New Roman"/>
            <w:szCs w:val="22"/>
            <w:lang w:val="en-CA"/>
          </w:rPr>
          <w:t>https://osf.io/preprints/psyarxiv/dvebm_v1</w:t>
        </w:r>
      </w:hyperlink>
    </w:p>
    <w:p w14:paraId="285EFBFB" w14:textId="5EC009E6" w:rsidR="00304FCF" w:rsidRPr="00304FCF" w:rsidRDefault="00304FCF" w:rsidP="0043503F">
      <w:pPr>
        <w:tabs>
          <w:tab w:val="clear" w:pos="3068"/>
        </w:tabs>
        <w:rPr>
          <w:rFonts w:cs="Times New Roman"/>
          <w:szCs w:val="22"/>
          <w:lang w:val="en-CA"/>
        </w:rPr>
      </w:pPr>
      <w:r w:rsidRPr="00304FCF">
        <w:rPr>
          <w:rFonts w:cs="Times New Roman"/>
          <w:szCs w:val="22"/>
          <w:lang w:val="en-CA"/>
        </w:rPr>
        <w:t>Sterling, T. D. (1959).</w:t>
      </w:r>
      <w:r w:rsidR="003F51A3">
        <w:rPr>
          <w:rFonts w:cs="Times New Roman"/>
          <w:szCs w:val="22"/>
          <w:lang w:val="en-CA"/>
        </w:rPr>
        <w:t xml:space="preserve"> </w:t>
      </w:r>
      <w:r w:rsidRPr="00304FCF">
        <w:rPr>
          <w:rFonts w:cs="Times New Roman"/>
          <w:szCs w:val="22"/>
          <w:lang w:val="en-CA"/>
        </w:rPr>
        <w:t>Publication decisions and their possible effects on inferences drawn from tests of significance</w:t>
      </w:r>
      <w:r w:rsidR="003F51A3">
        <w:rPr>
          <w:rFonts w:cs="Times New Roman"/>
          <w:szCs w:val="22"/>
          <w:lang w:val="en-CA"/>
        </w:rPr>
        <w:t xml:space="preserve"> - </w:t>
      </w:r>
      <w:r w:rsidRPr="00304FCF">
        <w:rPr>
          <w:rFonts w:cs="Times New Roman"/>
          <w:szCs w:val="22"/>
          <w:lang w:val="en-CA"/>
        </w:rPr>
        <w:t>or vice versa.</w:t>
      </w:r>
      <w:r w:rsidR="003F51A3">
        <w:rPr>
          <w:rFonts w:cs="Times New Roman"/>
          <w:szCs w:val="22"/>
          <w:lang w:val="en-CA"/>
        </w:rPr>
        <w:t xml:space="preserve"> </w:t>
      </w:r>
      <w:r w:rsidRPr="00304FCF">
        <w:rPr>
          <w:rFonts w:cs="Times New Roman"/>
          <w:i/>
          <w:iCs/>
          <w:szCs w:val="22"/>
          <w:lang w:val="en-CA"/>
        </w:rPr>
        <w:t>Journal of the American Statistical Association, 54</w:t>
      </w:r>
      <w:r w:rsidRPr="00304FCF">
        <w:rPr>
          <w:rFonts w:cs="Times New Roman"/>
          <w:szCs w:val="22"/>
          <w:lang w:val="en-CA"/>
        </w:rPr>
        <w:t>(285), 30–34.</w:t>
      </w:r>
      <w:r w:rsidR="003F51A3">
        <w:rPr>
          <w:rFonts w:cs="Times New Roman"/>
          <w:szCs w:val="22"/>
          <w:lang w:val="en-CA"/>
        </w:rPr>
        <w:t xml:space="preserve"> </w:t>
      </w:r>
      <w:r w:rsidRPr="00304FCF">
        <w:rPr>
          <w:rFonts w:cs="Times New Roman"/>
          <w:szCs w:val="22"/>
          <w:lang w:val="en-CA"/>
        </w:rPr>
        <w:t>https://doi.org/10.1080/01621459.1959.10501497</w:t>
      </w:r>
    </w:p>
    <w:p w14:paraId="5EF59F21" w14:textId="19AEB435" w:rsidR="00304FCF" w:rsidRPr="00304FCF" w:rsidRDefault="00304FCF" w:rsidP="0043503F">
      <w:pPr>
        <w:tabs>
          <w:tab w:val="clear" w:pos="3068"/>
        </w:tabs>
        <w:rPr>
          <w:rFonts w:cs="Times New Roman"/>
          <w:szCs w:val="22"/>
          <w:lang w:val="en-CA"/>
        </w:rPr>
      </w:pPr>
      <w:r w:rsidRPr="00304FCF">
        <w:rPr>
          <w:rFonts w:cs="Times New Roman"/>
          <w:szCs w:val="22"/>
          <w:lang w:val="en-CA"/>
        </w:rPr>
        <w:t>Sterling, T. D., Rosenbaum, W. L., &amp; Weinkam, J. J. (1995).</w:t>
      </w:r>
      <w:r w:rsidR="003F51A3">
        <w:rPr>
          <w:rFonts w:cs="Times New Roman"/>
          <w:szCs w:val="22"/>
          <w:lang w:val="en-CA"/>
        </w:rPr>
        <w:t xml:space="preserve"> </w:t>
      </w:r>
      <w:r w:rsidRPr="00304FCF">
        <w:rPr>
          <w:rFonts w:cs="Times New Roman"/>
          <w:szCs w:val="22"/>
          <w:lang w:val="en-CA"/>
        </w:rPr>
        <w:t>Publication decisions revisited: The effect of the outcome of statistical tests on the decision to publish and vice versa.</w:t>
      </w:r>
      <w:r w:rsidRPr="00304FCF">
        <w:rPr>
          <w:rFonts w:cs="Times New Roman"/>
          <w:szCs w:val="22"/>
          <w:lang w:val="en-CA"/>
        </w:rPr>
        <w:br/>
      </w:r>
      <w:r w:rsidRPr="00304FCF">
        <w:rPr>
          <w:rFonts w:cs="Times New Roman"/>
          <w:i/>
          <w:iCs/>
          <w:szCs w:val="22"/>
          <w:lang w:val="en-CA"/>
        </w:rPr>
        <w:t>The American Statistician, 49</w:t>
      </w:r>
      <w:r w:rsidRPr="00304FCF">
        <w:rPr>
          <w:rFonts w:cs="Times New Roman"/>
          <w:szCs w:val="22"/>
          <w:lang w:val="en-CA"/>
        </w:rPr>
        <w:t>(1), 108–112.</w:t>
      </w:r>
      <w:r w:rsidR="003F51A3">
        <w:rPr>
          <w:rFonts w:cs="Times New Roman"/>
          <w:szCs w:val="22"/>
          <w:lang w:val="en-CA"/>
        </w:rPr>
        <w:t xml:space="preserve"> </w:t>
      </w:r>
      <w:r w:rsidRPr="00304FCF">
        <w:rPr>
          <w:rFonts w:cs="Times New Roman"/>
          <w:szCs w:val="22"/>
          <w:lang w:val="en-CA"/>
        </w:rPr>
        <w:t>https://doi.org/10.1080/00031305.1995.10476125</w:t>
      </w:r>
    </w:p>
    <w:p w14:paraId="17FFCAFF" w14:textId="5D3ACA28" w:rsidR="003F51A3" w:rsidRPr="00726ABA" w:rsidRDefault="00304FCF" w:rsidP="00E3703D">
      <w:pPr>
        <w:tabs>
          <w:tab w:val="clear" w:pos="3068"/>
        </w:tabs>
        <w:rPr>
          <w:rFonts w:cs="Times New Roman"/>
          <w:szCs w:val="22"/>
        </w:rPr>
      </w:pPr>
      <w:r w:rsidRPr="00304FCF">
        <w:rPr>
          <w:rFonts w:cs="Times New Roman"/>
          <w:szCs w:val="22"/>
          <w:lang w:val="en-CA"/>
        </w:rPr>
        <w:lastRenderedPageBreak/>
        <w:t>Vevea, J. L., &amp; Hedges, L. V. (1995).</w:t>
      </w:r>
      <w:r w:rsidR="003F51A3">
        <w:rPr>
          <w:rFonts w:cs="Times New Roman"/>
          <w:szCs w:val="22"/>
          <w:lang w:val="en-CA"/>
        </w:rPr>
        <w:t xml:space="preserve"> </w:t>
      </w:r>
      <w:r w:rsidRPr="00304FCF">
        <w:rPr>
          <w:rFonts w:cs="Times New Roman"/>
          <w:szCs w:val="22"/>
          <w:lang w:val="en-CA"/>
        </w:rPr>
        <w:t>A general linear model for estimating effect size in the presence of publication bias.</w:t>
      </w:r>
      <w:r w:rsidR="003F51A3">
        <w:rPr>
          <w:rFonts w:cs="Times New Roman"/>
          <w:szCs w:val="22"/>
          <w:lang w:val="en-CA"/>
        </w:rPr>
        <w:t xml:space="preserve"> </w:t>
      </w:r>
      <w:r w:rsidRPr="00304FCF">
        <w:rPr>
          <w:rFonts w:cs="Times New Roman"/>
          <w:i/>
          <w:iCs/>
          <w:szCs w:val="22"/>
          <w:lang w:val="en-CA"/>
        </w:rPr>
        <w:t>Psychological Methods, 1</w:t>
      </w:r>
      <w:r w:rsidRPr="00304FCF">
        <w:rPr>
          <w:rFonts w:cs="Times New Roman"/>
          <w:szCs w:val="22"/>
          <w:lang w:val="en-CA"/>
        </w:rPr>
        <w:t>(3), 311–325.</w:t>
      </w:r>
      <w:r w:rsidRPr="00304FCF">
        <w:rPr>
          <w:rFonts w:cs="Times New Roman"/>
          <w:szCs w:val="22"/>
          <w:lang w:val="en-CA"/>
        </w:rPr>
        <w:br/>
        <w:t>https://doi.org/10.1037/1082-989X.1.3.311</w:t>
      </w:r>
    </w:p>
    <w:sectPr w:rsidR="003F51A3" w:rsidRPr="00726AB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A491" w14:textId="77777777" w:rsidR="00A24FFA" w:rsidRDefault="00A24FFA" w:rsidP="00E102C3">
      <w:r>
        <w:separator/>
      </w:r>
    </w:p>
    <w:p w14:paraId="2B9D1975" w14:textId="77777777" w:rsidR="00A24FFA" w:rsidRDefault="00A24FFA" w:rsidP="00E102C3"/>
  </w:endnote>
  <w:endnote w:type="continuationSeparator" w:id="0">
    <w:p w14:paraId="5455AC7E" w14:textId="77777777" w:rsidR="00A24FFA" w:rsidRDefault="00A24FFA" w:rsidP="00E102C3">
      <w:r>
        <w:continuationSeparator/>
      </w:r>
    </w:p>
    <w:p w14:paraId="75C72D6B" w14:textId="77777777" w:rsidR="00A24FFA" w:rsidRDefault="00A24FFA"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689C" w14:textId="77777777" w:rsidR="00A24FFA" w:rsidRDefault="00A24FFA" w:rsidP="00E102C3">
      <w:r>
        <w:separator/>
      </w:r>
    </w:p>
    <w:p w14:paraId="48E911CC" w14:textId="77777777" w:rsidR="00A24FFA" w:rsidRDefault="00A24FFA" w:rsidP="00E102C3"/>
  </w:footnote>
  <w:footnote w:type="continuationSeparator" w:id="0">
    <w:p w14:paraId="6A7E7E4B" w14:textId="77777777" w:rsidR="00A24FFA" w:rsidRDefault="00A24FFA" w:rsidP="00E102C3">
      <w:r>
        <w:continuationSeparator/>
      </w:r>
    </w:p>
    <w:p w14:paraId="11BFF36B" w14:textId="77777777" w:rsidR="00A24FFA" w:rsidRDefault="00A24FFA"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Calibri"/>
        <w:szCs w:val="22"/>
      </w:rPr>
      <w:id w:val="824625240"/>
      <w:docPartObj>
        <w:docPartGallery w:val="Page Numbers (Top of Page)"/>
        <w:docPartUnique/>
      </w:docPartObj>
    </w:sdtPr>
    <w:sdtEndPr>
      <w:rPr>
        <w:noProof/>
      </w:rPr>
    </w:sdtEndPr>
    <w:sdtContent>
      <w:p w14:paraId="6C3849DC" w14:textId="42EE428B" w:rsidR="00EC63D6" w:rsidRPr="00222A35" w:rsidRDefault="000B0EA2" w:rsidP="00E102C3">
        <w:pPr>
          <w:pStyle w:val="Header"/>
          <w:ind w:firstLine="0"/>
          <w:rPr>
            <w:rFonts w:cs="Calibri"/>
            <w:szCs w:val="22"/>
          </w:rPr>
        </w:pPr>
        <w:r>
          <w:rPr>
            <w:rFonts w:cs="Calibri"/>
            <w:szCs w:val="22"/>
          </w:rPr>
          <w:t>CLARIFICATION ABOUT Z-CURVE</w:t>
        </w:r>
        <w:r w:rsidR="00AE3531">
          <w:rPr>
            <w:rFonts w:cs="Calibri"/>
            <w:szCs w:val="22"/>
          </w:rPr>
          <w:tab/>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p>
    </w:sdtContent>
  </w:sdt>
  <w:p w14:paraId="4676793A" w14:textId="1B7CB1C1"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86F"/>
    <w:multiLevelType w:val="multilevel"/>
    <w:tmpl w:val="A958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1E40"/>
    <w:multiLevelType w:val="multilevel"/>
    <w:tmpl w:val="599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45740"/>
    <w:multiLevelType w:val="multilevel"/>
    <w:tmpl w:val="1A76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32C54"/>
    <w:multiLevelType w:val="multilevel"/>
    <w:tmpl w:val="83A6D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540F"/>
    <w:multiLevelType w:val="multilevel"/>
    <w:tmpl w:val="FDC8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46E8B"/>
    <w:multiLevelType w:val="multilevel"/>
    <w:tmpl w:val="0FD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A6D8B"/>
    <w:multiLevelType w:val="multilevel"/>
    <w:tmpl w:val="9DBA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E162B"/>
    <w:multiLevelType w:val="multilevel"/>
    <w:tmpl w:val="3FCA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E18B1"/>
    <w:multiLevelType w:val="multilevel"/>
    <w:tmpl w:val="E9CA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8C579C"/>
    <w:multiLevelType w:val="multilevel"/>
    <w:tmpl w:val="6EB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44206"/>
    <w:multiLevelType w:val="multilevel"/>
    <w:tmpl w:val="534C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24F29"/>
    <w:multiLevelType w:val="multilevel"/>
    <w:tmpl w:val="497A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938C2"/>
    <w:multiLevelType w:val="multilevel"/>
    <w:tmpl w:val="33E6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A3200"/>
    <w:multiLevelType w:val="multilevel"/>
    <w:tmpl w:val="AED6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570A7"/>
    <w:multiLevelType w:val="multilevel"/>
    <w:tmpl w:val="2102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45365"/>
    <w:multiLevelType w:val="multilevel"/>
    <w:tmpl w:val="3C1EA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27F2E"/>
    <w:multiLevelType w:val="multilevel"/>
    <w:tmpl w:val="C582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E5C4C"/>
    <w:multiLevelType w:val="multilevel"/>
    <w:tmpl w:val="3B8A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51115"/>
    <w:multiLevelType w:val="multilevel"/>
    <w:tmpl w:val="F992D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85156"/>
    <w:multiLevelType w:val="multilevel"/>
    <w:tmpl w:val="107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2A1148"/>
    <w:multiLevelType w:val="multilevel"/>
    <w:tmpl w:val="32D8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686B3B"/>
    <w:multiLevelType w:val="multilevel"/>
    <w:tmpl w:val="2FEE2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9B1BD9"/>
    <w:multiLevelType w:val="multilevel"/>
    <w:tmpl w:val="0AFE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644ED"/>
    <w:multiLevelType w:val="multilevel"/>
    <w:tmpl w:val="E24E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6623A"/>
    <w:multiLevelType w:val="multilevel"/>
    <w:tmpl w:val="161C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861A4"/>
    <w:multiLevelType w:val="multilevel"/>
    <w:tmpl w:val="4334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F40E8"/>
    <w:multiLevelType w:val="multilevel"/>
    <w:tmpl w:val="882C8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FE3B9E"/>
    <w:multiLevelType w:val="multilevel"/>
    <w:tmpl w:val="D92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C2854"/>
    <w:multiLevelType w:val="multilevel"/>
    <w:tmpl w:val="CF46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D10397"/>
    <w:multiLevelType w:val="multilevel"/>
    <w:tmpl w:val="C73E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F114D"/>
    <w:multiLevelType w:val="multilevel"/>
    <w:tmpl w:val="B0A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5B0D5C"/>
    <w:multiLevelType w:val="multilevel"/>
    <w:tmpl w:val="4D46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D6314"/>
    <w:multiLevelType w:val="multilevel"/>
    <w:tmpl w:val="94A6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0422404">
    <w:abstractNumId w:val="18"/>
  </w:num>
  <w:num w:numId="2" w16cid:durableId="1515922716">
    <w:abstractNumId w:val="4"/>
  </w:num>
  <w:num w:numId="3" w16cid:durableId="895355670">
    <w:abstractNumId w:val="31"/>
  </w:num>
  <w:num w:numId="4" w16cid:durableId="109007870">
    <w:abstractNumId w:val="29"/>
  </w:num>
  <w:num w:numId="5" w16cid:durableId="220755896">
    <w:abstractNumId w:val="1"/>
  </w:num>
  <w:num w:numId="6" w16cid:durableId="318921035">
    <w:abstractNumId w:val="5"/>
  </w:num>
  <w:num w:numId="7" w16cid:durableId="821391701">
    <w:abstractNumId w:val="14"/>
  </w:num>
  <w:num w:numId="8" w16cid:durableId="251009966">
    <w:abstractNumId w:val="6"/>
  </w:num>
  <w:num w:numId="9" w16cid:durableId="427968197">
    <w:abstractNumId w:val="3"/>
  </w:num>
  <w:num w:numId="10" w16cid:durableId="1942299827">
    <w:abstractNumId w:val="16"/>
  </w:num>
  <w:num w:numId="11" w16cid:durableId="2026204560">
    <w:abstractNumId w:val="11"/>
  </w:num>
  <w:num w:numId="12" w16cid:durableId="665665891">
    <w:abstractNumId w:val="30"/>
  </w:num>
  <w:num w:numId="13" w16cid:durableId="412316131">
    <w:abstractNumId w:val="10"/>
  </w:num>
  <w:num w:numId="14" w16cid:durableId="1764062397">
    <w:abstractNumId w:val="26"/>
  </w:num>
  <w:num w:numId="15" w16cid:durableId="941914684">
    <w:abstractNumId w:val="24"/>
  </w:num>
  <w:num w:numId="16" w16cid:durableId="1818571989">
    <w:abstractNumId w:val="9"/>
  </w:num>
  <w:num w:numId="17" w16cid:durableId="1516966697">
    <w:abstractNumId w:val="8"/>
  </w:num>
  <w:num w:numId="18" w16cid:durableId="1438019530">
    <w:abstractNumId w:val="23"/>
  </w:num>
  <w:num w:numId="19" w16cid:durableId="1939285752">
    <w:abstractNumId w:val="0"/>
  </w:num>
  <w:num w:numId="20" w16cid:durableId="1779642195">
    <w:abstractNumId w:val="17"/>
  </w:num>
  <w:num w:numId="21" w16cid:durableId="1403598939">
    <w:abstractNumId w:val="12"/>
  </w:num>
  <w:num w:numId="22" w16cid:durableId="1465151968">
    <w:abstractNumId w:val="25"/>
  </w:num>
  <w:num w:numId="23" w16cid:durableId="1840928171">
    <w:abstractNumId w:val="33"/>
  </w:num>
  <w:num w:numId="24" w16cid:durableId="1153447265">
    <w:abstractNumId w:val="19"/>
  </w:num>
  <w:num w:numId="25" w16cid:durableId="1097406741">
    <w:abstractNumId w:val="32"/>
  </w:num>
  <w:num w:numId="26" w16cid:durableId="333648394">
    <w:abstractNumId w:val="28"/>
  </w:num>
  <w:num w:numId="27" w16cid:durableId="1644656845">
    <w:abstractNumId w:val="22"/>
  </w:num>
  <w:num w:numId="28" w16cid:durableId="1057245130">
    <w:abstractNumId w:val="15"/>
  </w:num>
  <w:num w:numId="29" w16cid:durableId="196968352">
    <w:abstractNumId w:val="21"/>
  </w:num>
  <w:num w:numId="30" w16cid:durableId="1337223721">
    <w:abstractNumId w:val="7"/>
  </w:num>
  <w:num w:numId="31" w16cid:durableId="758793622">
    <w:abstractNumId w:val="2"/>
  </w:num>
  <w:num w:numId="32" w16cid:durableId="1424497526">
    <w:abstractNumId w:val="20"/>
  </w:num>
  <w:num w:numId="33" w16cid:durableId="16732974">
    <w:abstractNumId w:val="13"/>
  </w:num>
  <w:num w:numId="34" w16cid:durableId="5368182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02E46"/>
    <w:rsid w:val="00022100"/>
    <w:rsid w:val="00023C09"/>
    <w:rsid w:val="00023F33"/>
    <w:rsid w:val="000251D5"/>
    <w:rsid w:val="00025B88"/>
    <w:rsid w:val="000313E9"/>
    <w:rsid w:val="00034E43"/>
    <w:rsid w:val="00043513"/>
    <w:rsid w:val="00050DC8"/>
    <w:rsid w:val="000549F0"/>
    <w:rsid w:val="000604EF"/>
    <w:rsid w:val="000620B7"/>
    <w:rsid w:val="00073180"/>
    <w:rsid w:val="00074CCD"/>
    <w:rsid w:val="00076281"/>
    <w:rsid w:val="00077AAF"/>
    <w:rsid w:val="0008031E"/>
    <w:rsid w:val="00080888"/>
    <w:rsid w:val="0009623B"/>
    <w:rsid w:val="000A1058"/>
    <w:rsid w:val="000A5A29"/>
    <w:rsid w:val="000A6DAA"/>
    <w:rsid w:val="000A70A4"/>
    <w:rsid w:val="000A7152"/>
    <w:rsid w:val="000B0EA2"/>
    <w:rsid w:val="000B0FB3"/>
    <w:rsid w:val="000B2075"/>
    <w:rsid w:val="000B4C68"/>
    <w:rsid w:val="000B6B17"/>
    <w:rsid w:val="000C67EA"/>
    <w:rsid w:val="000C7CE4"/>
    <w:rsid w:val="000D188A"/>
    <w:rsid w:val="000D1C7D"/>
    <w:rsid w:val="000E0616"/>
    <w:rsid w:val="000E6EBF"/>
    <w:rsid w:val="000E7AC3"/>
    <w:rsid w:val="00102516"/>
    <w:rsid w:val="00103A39"/>
    <w:rsid w:val="001053EC"/>
    <w:rsid w:val="00110DCE"/>
    <w:rsid w:val="0011127C"/>
    <w:rsid w:val="001135F7"/>
    <w:rsid w:val="0011799B"/>
    <w:rsid w:val="00120A65"/>
    <w:rsid w:val="00123E0C"/>
    <w:rsid w:val="001263C3"/>
    <w:rsid w:val="00126C99"/>
    <w:rsid w:val="00127293"/>
    <w:rsid w:val="00132939"/>
    <w:rsid w:val="00140ACC"/>
    <w:rsid w:val="001503D2"/>
    <w:rsid w:val="00151B7D"/>
    <w:rsid w:val="00167F5B"/>
    <w:rsid w:val="00170989"/>
    <w:rsid w:val="0017154C"/>
    <w:rsid w:val="00172E7E"/>
    <w:rsid w:val="00183F93"/>
    <w:rsid w:val="00195A90"/>
    <w:rsid w:val="00195FB4"/>
    <w:rsid w:val="001967BE"/>
    <w:rsid w:val="001A2967"/>
    <w:rsid w:val="001A6792"/>
    <w:rsid w:val="001B0993"/>
    <w:rsid w:val="001B4ECE"/>
    <w:rsid w:val="001C0328"/>
    <w:rsid w:val="001C2344"/>
    <w:rsid w:val="001C5783"/>
    <w:rsid w:val="001D4DD4"/>
    <w:rsid w:val="001D7F11"/>
    <w:rsid w:val="001E16A2"/>
    <w:rsid w:val="001E559E"/>
    <w:rsid w:val="001F17B5"/>
    <w:rsid w:val="001F4777"/>
    <w:rsid w:val="00203AA4"/>
    <w:rsid w:val="00210219"/>
    <w:rsid w:val="00213D88"/>
    <w:rsid w:val="0021772D"/>
    <w:rsid w:val="00222A35"/>
    <w:rsid w:val="00223F0B"/>
    <w:rsid w:val="002272D2"/>
    <w:rsid w:val="00235170"/>
    <w:rsid w:val="00236E04"/>
    <w:rsid w:val="002414A7"/>
    <w:rsid w:val="002443EB"/>
    <w:rsid w:val="00250AA0"/>
    <w:rsid w:val="002545E4"/>
    <w:rsid w:val="00256B0E"/>
    <w:rsid w:val="002657BC"/>
    <w:rsid w:val="00271D2C"/>
    <w:rsid w:val="00290C63"/>
    <w:rsid w:val="0029125E"/>
    <w:rsid w:val="00294229"/>
    <w:rsid w:val="002B1F4D"/>
    <w:rsid w:val="002B756F"/>
    <w:rsid w:val="002B79D8"/>
    <w:rsid w:val="002C18D1"/>
    <w:rsid w:val="002C4B58"/>
    <w:rsid w:val="002E4FFA"/>
    <w:rsid w:val="002E686E"/>
    <w:rsid w:val="002F5057"/>
    <w:rsid w:val="00304AE7"/>
    <w:rsid w:val="00304FCF"/>
    <w:rsid w:val="00312627"/>
    <w:rsid w:val="00315566"/>
    <w:rsid w:val="00320D62"/>
    <w:rsid w:val="00321109"/>
    <w:rsid w:val="00322A54"/>
    <w:rsid w:val="0033582B"/>
    <w:rsid w:val="00335C7D"/>
    <w:rsid w:val="0033632B"/>
    <w:rsid w:val="003369AB"/>
    <w:rsid w:val="00336E67"/>
    <w:rsid w:val="00340295"/>
    <w:rsid w:val="00342C89"/>
    <w:rsid w:val="00350CDC"/>
    <w:rsid w:val="003538F3"/>
    <w:rsid w:val="00357698"/>
    <w:rsid w:val="00363BBC"/>
    <w:rsid w:val="003649CB"/>
    <w:rsid w:val="0036540C"/>
    <w:rsid w:val="00365ACF"/>
    <w:rsid w:val="0037112F"/>
    <w:rsid w:val="00374868"/>
    <w:rsid w:val="0038048B"/>
    <w:rsid w:val="003821B2"/>
    <w:rsid w:val="00392E2C"/>
    <w:rsid w:val="003933D1"/>
    <w:rsid w:val="00397B97"/>
    <w:rsid w:val="003A10C0"/>
    <w:rsid w:val="003A71C8"/>
    <w:rsid w:val="003A7F4E"/>
    <w:rsid w:val="003B0D5C"/>
    <w:rsid w:val="003B1A59"/>
    <w:rsid w:val="003B70C6"/>
    <w:rsid w:val="003C5C48"/>
    <w:rsid w:val="003F1DC5"/>
    <w:rsid w:val="003F51A3"/>
    <w:rsid w:val="00412A7B"/>
    <w:rsid w:val="00412FED"/>
    <w:rsid w:val="00416392"/>
    <w:rsid w:val="004172EC"/>
    <w:rsid w:val="00424D5F"/>
    <w:rsid w:val="004346A3"/>
    <w:rsid w:val="0043503F"/>
    <w:rsid w:val="0044363A"/>
    <w:rsid w:val="00462545"/>
    <w:rsid w:val="00466B78"/>
    <w:rsid w:val="004706BA"/>
    <w:rsid w:val="00477945"/>
    <w:rsid w:val="00480E5A"/>
    <w:rsid w:val="00481DD1"/>
    <w:rsid w:val="00484B9C"/>
    <w:rsid w:val="00486B99"/>
    <w:rsid w:val="00490F28"/>
    <w:rsid w:val="004B1ED3"/>
    <w:rsid w:val="004B1FF4"/>
    <w:rsid w:val="004B20CE"/>
    <w:rsid w:val="004B274A"/>
    <w:rsid w:val="004D01F1"/>
    <w:rsid w:val="004E4703"/>
    <w:rsid w:val="004E6B89"/>
    <w:rsid w:val="004F46A3"/>
    <w:rsid w:val="004F63CE"/>
    <w:rsid w:val="004F6CAD"/>
    <w:rsid w:val="005035C8"/>
    <w:rsid w:val="00514109"/>
    <w:rsid w:val="0051460E"/>
    <w:rsid w:val="00514D95"/>
    <w:rsid w:val="00514F2E"/>
    <w:rsid w:val="0051642E"/>
    <w:rsid w:val="00520B4B"/>
    <w:rsid w:val="0052667F"/>
    <w:rsid w:val="0054190E"/>
    <w:rsid w:val="0054364B"/>
    <w:rsid w:val="00554ED1"/>
    <w:rsid w:val="00557214"/>
    <w:rsid w:val="00565EE8"/>
    <w:rsid w:val="00571D89"/>
    <w:rsid w:val="00580019"/>
    <w:rsid w:val="00582191"/>
    <w:rsid w:val="005840CC"/>
    <w:rsid w:val="005865C7"/>
    <w:rsid w:val="005922A9"/>
    <w:rsid w:val="005B4EE2"/>
    <w:rsid w:val="005C07B8"/>
    <w:rsid w:val="005C3AB7"/>
    <w:rsid w:val="005C4840"/>
    <w:rsid w:val="005C6A2F"/>
    <w:rsid w:val="005C7B37"/>
    <w:rsid w:val="005D4500"/>
    <w:rsid w:val="005D5F0F"/>
    <w:rsid w:val="005E26CA"/>
    <w:rsid w:val="005E6AFF"/>
    <w:rsid w:val="005E7D95"/>
    <w:rsid w:val="005F780F"/>
    <w:rsid w:val="00601C17"/>
    <w:rsid w:val="006031AE"/>
    <w:rsid w:val="00605E2C"/>
    <w:rsid w:val="0060783D"/>
    <w:rsid w:val="006102E6"/>
    <w:rsid w:val="006110AB"/>
    <w:rsid w:val="006117B0"/>
    <w:rsid w:val="00611E10"/>
    <w:rsid w:val="00612585"/>
    <w:rsid w:val="00616377"/>
    <w:rsid w:val="006274E0"/>
    <w:rsid w:val="0063197D"/>
    <w:rsid w:val="00631F91"/>
    <w:rsid w:val="0064258B"/>
    <w:rsid w:val="00643113"/>
    <w:rsid w:val="0064319A"/>
    <w:rsid w:val="00660F6B"/>
    <w:rsid w:val="00666591"/>
    <w:rsid w:val="00667E5B"/>
    <w:rsid w:val="00683235"/>
    <w:rsid w:val="00684945"/>
    <w:rsid w:val="00692747"/>
    <w:rsid w:val="00694F28"/>
    <w:rsid w:val="006A474F"/>
    <w:rsid w:val="006B657A"/>
    <w:rsid w:val="006C0390"/>
    <w:rsid w:val="006C2D27"/>
    <w:rsid w:val="006D475F"/>
    <w:rsid w:val="006E2EC8"/>
    <w:rsid w:val="006E72A7"/>
    <w:rsid w:val="006F0202"/>
    <w:rsid w:val="00700473"/>
    <w:rsid w:val="00704C63"/>
    <w:rsid w:val="007067E1"/>
    <w:rsid w:val="00711CAA"/>
    <w:rsid w:val="00714A71"/>
    <w:rsid w:val="0071689D"/>
    <w:rsid w:val="00720C0E"/>
    <w:rsid w:val="00726ABA"/>
    <w:rsid w:val="00734FEF"/>
    <w:rsid w:val="00736896"/>
    <w:rsid w:val="00737064"/>
    <w:rsid w:val="00750D4C"/>
    <w:rsid w:val="00751CF2"/>
    <w:rsid w:val="0075481D"/>
    <w:rsid w:val="007617BF"/>
    <w:rsid w:val="00765774"/>
    <w:rsid w:val="00775A1C"/>
    <w:rsid w:val="00785BFC"/>
    <w:rsid w:val="00785C16"/>
    <w:rsid w:val="0078629F"/>
    <w:rsid w:val="00786F51"/>
    <w:rsid w:val="00790132"/>
    <w:rsid w:val="007954A1"/>
    <w:rsid w:val="00795729"/>
    <w:rsid w:val="007A7DF5"/>
    <w:rsid w:val="007B098C"/>
    <w:rsid w:val="007B4C07"/>
    <w:rsid w:val="007B574B"/>
    <w:rsid w:val="007B6231"/>
    <w:rsid w:val="007C0A3E"/>
    <w:rsid w:val="007C1C59"/>
    <w:rsid w:val="007C2784"/>
    <w:rsid w:val="007C3AF9"/>
    <w:rsid w:val="007C6078"/>
    <w:rsid w:val="007C760B"/>
    <w:rsid w:val="007D042B"/>
    <w:rsid w:val="007D0A2B"/>
    <w:rsid w:val="007D6E8F"/>
    <w:rsid w:val="007D7BFC"/>
    <w:rsid w:val="007E18B8"/>
    <w:rsid w:val="007E29F9"/>
    <w:rsid w:val="007F2410"/>
    <w:rsid w:val="007F36C2"/>
    <w:rsid w:val="007F3BB1"/>
    <w:rsid w:val="007F5F81"/>
    <w:rsid w:val="008002AA"/>
    <w:rsid w:val="00805F30"/>
    <w:rsid w:val="00821C01"/>
    <w:rsid w:val="00823127"/>
    <w:rsid w:val="00834BB1"/>
    <w:rsid w:val="008547E8"/>
    <w:rsid w:val="00856ABA"/>
    <w:rsid w:val="00860780"/>
    <w:rsid w:val="008721F6"/>
    <w:rsid w:val="00873A2C"/>
    <w:rsid w:val="00874378"/>
    <w:rsid w:val="00884A1C"/>
    <w:rsid w:val="0088726F"/>
    <w:rsid w:val="008A24F5"/>
    <w:rsid w:val="008A49D2"/>
    <w:rsid w:val="008A7309"/>
    <w:rsid w:val="008B53D4"/>
    <w:rsid w:val="008B549F"/>
    <w:rsid w:val="008B6ED1"/>
    <w:rsid w:val="008B727A"/>
    <w:rsid w:val="008D0B45"/>
    <w:rsid w:val="008D29F2"/>
    <w:rsid w:val="008D4997"/>
    <w:rsid w:val="008E1E3A"/>
    <w:rsid w:val="008E33E9"/>
    <w:rsid w:val="008F5999"/>
    <w:rsid w:val="008F6C94"/>
    <w:rsid w:val="00901150"/>
    <w:rsid w:val="00902388"/>
    <w:rsid w:val="00911663"/>
    <w:rsid w:val="00913F51"/>
    <w:rsid w:val="0091431A"/>
    <w:rsid w:val="00914AEC"/>
    <w:rsid w:val="009330DE"/>
    <w:rsid w:val="00941484"/>
    <w:rsid w:val="00955FD6"/>
    <w:rsid w:val="00966505"/>
    <w:rsid w:val="00967C86"/>
    <w:rsid w:val="00972136"/>
    <w:rsid w:val="009727F3"/>
    <w:rsid w:val="00976331"/>
    <w:rsid w:val="00983643"/>
    <w:rsid w:val="00984E61"/>
    <w:rsid w:val="0098563F"/>
    <w:rsid w:val="00985F1C"/>
    <w:rsid w:val="0098735B"/>
    <w:rsid w:val="009A7B8C"/>
    <w:rsid w:val="009D7787"/>
    <w:rsid w:val="009E4D46"/>
    <w:rsid w:val="009E693C"/>
    <w:rsid w:val="009E6D26"/>
    <w:rsid w:val="009E7A57"/>
    <w:rsid w:val="009F0277"/>
    <w:rsid w:val="009F655A"/>
    <w:rsid w:val="00A03755"/>
    <w:rsid w:val="00A14DB3"/>
    <w:rsid w:val="00A2168D"/>
    <w:rsid w:val="00A22C7D"/>
    <w:rsid w:val="00A24FFA"/>
    <w:rsid w:val="00A25CAE"/>
    <w:rsid w:val="00A36D61"/>
    <w:rsid w:val="00A36D62"/>
    <w:rsid w:val="00A376D9"/>
    <w:rsid w:val="00A42825"/>
    <w:rsid w:val="00A476BC"/>
    <w:rsid w:val="00A53928"/>
    <w:rsid w:val="00A56BF6"/>
    <w:rsid w:val="00A66E09"/>
    <w:rsid w:val="00A73C47"/>
    <w:rsid w:val="00A74009"/>
    <w:rsid w:val="00A75E0F"/>
    <w:rsid w:val="00A80790"/>
    <w:rsid w:val="00A85C1D"/>
    <w:rsid w:val="00A9137C"/>
    <w:rsid w:val="00A96EFE"/>
    <w:rsid w:val="00A97D54"/>
    <w:rsid w:val="00AA1F41"/>
    <w:rsid w:val="00AA4A24"/>
    <w:rsid w:val="00AA5283"/>
    <w:rsid w:val="00AB13BF"/>
    <w:rsid w:val="00AB20C7"/>
    <w:rsid w:val="00AB3F29"/>
    <w:rsid w:val="00AB7315"/>
    <w:rsid w:val="00AC1A7B"/>
    <w:rsid w:val="00AC6ADA"/>
    <w:rsid w:val="00AC79CE"/>
    <w:rsid w:val="00AD3F7E"/>
    <w:rsid w:val="00AD51BF"/>
    <w:rsid w:val="00AD6029"/>
    <w:rsid w:val="00AE2151"/>
    <w:rsid w:val="00AE3531"/>
    <w:rsid w:val="00AE6C41"/>
    <w:rsid w:val="00AF1EB8"/>
    <w:rsid w:val="00B1307D"/>
    <w:rsid w:val="00B13488"/>
    <w:rsid w:val="00B15BD1"/>
    <w:rsid w:val="00B210F3"/>
    <w:rsid w:val="00B23026"/>
    <w:rsid w:val="00B330BC"/>
    <w:rsid w:val="00B37717"/>
    <w:rsid w:val="00B40BBE"/>
    <w:rsid w:val="00B42005"/>
    <w:rsid w:val="00B4782C"/>
    <w:rsid w:val="00B708D8"/>
    <w:rsid w:val="00B70AF3"/>
    <w:rsid w:val="00B7505F"/>
    <w:rsid w:val="00B7557A"/>
    <w:rsid w:val="00B75A7C"/>
    <w:rsid w:val="00B769B2"/>
    <w:rsid w:val="00B779C0"/>
    <w:rsid w:val="00B85BA2"/>
    <w:rsid w:val="00B85FE9"/>
    <w:rsid w:val="00B8771A"/>
    <w:rsid w:val="00B91225"/>
    <w:rsid w:val="00B940C6"/>
    <w:rsid w:val="00B941B1"/>
    <w:rsid w:val="00B95776"/>
    <w:rsid w:val="00B9607B"/>
    <w:rsid w:val="00B97476"/>
    <w:rsid w:val="00BA3199"/>
    <w:rsid w:val="00BA4448"/>
    <w:rsid w:val="00BB2D3E"/>
    <w:rsid w:val="00BB41EE"/>
    <w:rsid w:val="00BB76BE"/>
    <w:rsid w:val="00BC1D76"/>
    <w:rsid w:val="00BC5490"/>
    <w:rsid w:val="00BD12EF"/>
    <w:rsid w:val="00BD36DF"/>
    <w:rsid w:val="00BD396F"/>
    <w:rsid w:val="00BD7694"/>
    <w:rsid w:val="00BE3F16"/>
    <w:rsid w:val="00BF7A31"/>
    <w:rsid w:val="00C00E97"/>
    <w:rsid w:val="00C044E2"/>
    <w:rsid w:val="00C048E0"/>
    <w:rsid w:val="00C05B8E"/>
    <w:rsid w:val="00C05B92"/>
    <w:rsid w:val="00C164E8"/>
    <w:rsid w:val="00C20DE3"/>
    <w:rsid w:val="00C223E7"/>
    <w:rsid w:val="00C47B69"/>
    <w:rsid w:val="00C50B51"/>
    <w:rsid w:val="00C5178D"/>
    <w:rsid w:val="00C5343F"/>
    <w:rsid w:val="00C61A70"/>
    <w:rsid w:val="00C6299C"/>
    <w:rsid w:val="00C73377"/>
    <w:rsid w:val="00C76EAD"/>
    <w:rsid w:val="00C81D35"/>
    <w:rsid w:val="00C86216"/>
    <w:rsid w:val="00C97878"/>
    <w:rsid w:val="00CA1D68"/>
    <w:rsid w:val="00CA25BD"/>
    <w:rsid w:val="00CA3E23"/>
    <w:rsid w:val="00CA7F9B"/>
    <w:rsid w:val="00CB32C3"/>
    <w:rsid w:val="00CC186E"/>
    <w:rsid w:val="00CC1F36"/>
    <w:rsid w:val="00CC6C21"/>
    <w:rsid w:val="00CC7D0E"/>
    <w:rsid w:val="00CE3CC6"/>
    <w:rsid w:val="00CE40A4"/>
    <w:rsid w:val="00CF4902"/>
    <w:rsid w:val="00D23A8D"/>
    <w:rsid w:val="00D24C55"/>
    <w:rsid w:val="00D3718B"/>
    <w:rsid w:val="00D37A3F"/>
    <w:rsid w:val="00D410E1"/>
    <w:rsid w:val="00D53E2C"/>
    <w:rsid w:val="00D57BC6"/>
    <w:rsid w:val="00D6354D"/>
    <w:rsid w:val="00D65AD4"/>
    <w:rsid w:val="00D83191"/>
    <w:rsid w:val="00D90FB2"/>
    <w:rsid w:val="00D9279A"/>
    <w:rsid w:val="00D92B9C"/>
    <w:rsid w:val="00D93AC3"/>
    <w:rsid w:val="00DA462A"/>
    <w:rsid w:val="00DB024C"/>
    <w:rsid w:val="00DB0283"/>
    <w:rsid w:val="00DB2A40"/>
    <w:rsid w:val="00DB500C"/>
    <w:rsid w:val="00DC0F42"/>
    <w:rsid w:val="00DC33A0"/>
    <w:rsid w:val="00DC7FAD"/>
    <w:rsid w:val="00DD132E"/>
    <w:rsid w:val="00DD306A"/>
    <w:rsid w:val="00DD6423"/>
    <w:rsid w:val="00DE1469"/>
    <w:rsid w:val="00DF03CD"/>
    <w:rsid w:val="00DF520F"/>
    <w:rsid w:val="00DF7926"/>
    <w:rsid w:val="00E01445"/>
    <w:rsid w:val="00E020D6"/>
    <w:rsid w:val="00E102C3"/>
    <w:rsid w:val="00E104D5"/>
    <w:rsid w:val="00E3703D"/>
    <w:rsid w:val="00E4496B"/>
    <w:rsid w:val="00E519A7"/>
    <w:rsid w:val="00E51DEC"/>
    <w:rsid w:val="00E64A41"/>
    <w:rsid w:val="00E74AC1"/>
    <w:rsid w:val="00E96D00"/>
    <w:rsid w:val="00E978CD"/>
    <w:rsid w:val="00E97F25"/>
    <w:rsid w:val="00EA0278"/>
    <w:rsid w:val="00EA14FC"/>
    <w:rsid w:val="00EA28C4"/>
    <w:rsid w:val="00EB6B08"/>
    <w:rsid w:val="00EB785F"/>
    <w:rsid w:val="00EC0066"/>
    <w:rsid w:val="00EC63D6"/>
    <w:rsid w:val="00ED3BF4"/>
    <w:rsid w:val="00ED4E5F"/>
    <w:rsid w:val="00ED5428"/>
    <w:rsid w:val="00EE573E"/>
    <w:rsid w:val="00EF16D7"/>
    <w:rsid w:val="00EF4401"/>
    <w:rsid w:val="00EF5B07"/>
    <w:rsid w:val="00EF782D"/>
    <w:rsid w:val="00F0016D"/>
    <w:rsid w:val="00F0292F"/>
    <w:rsid w:val="00F05AC4"/>
    <w:rsid w:val="00F07DBE"/>
    <w:rsid w:val="00F1037D"/>
    <w:rsid w:val="00F129E3"/>
    <w:rsid w:val="00F12D0F"/>
    <w:rsid w:val="00F166A7"/>
    <w:rsid w:val="00F235A5"/>
    <w:rsid w:val="00F27797"/>
    <w:rsid w:val="00F27E99"/>
    <w:rsid w:val="00F44F9A"/>
    <w:rsid w:val="00F45896"/>
    <w:rsid w:val="00F51343"/>
    <w:rsid w:val="00F529B4"/>
    <w:rsid w:val="00F637AD"/>
    <w:rsid w:val="00F64D47"/>
    <w:rsid w:val="00F71954"/>
    <w:rsid w:val="00F84B01"/>
    <w:rsid w:val="00F865B8"/>
    <w:rsid w:val="00F91590"/>
    <w:rsid w:val="00FA118C"/>
    <w:rsid w:val="00FA221E"/>
    <w:rsid w:val="00FA2354"/>
    <w:rsid w:val="00FA3A11"/>
    <w:rsid w:val="00FA5BF7"/>
    <w:rsid w:val="00FA75AB"/>
    <w:rsid w:val="00FB556C"/>
    <w:rsid w:val="00FB5E42"/>
    <w:rsid w:val="00FD2F36"/>
    <w:rsid w:val="00FD5EEC"/>
    <w:rsid w:val="00FE0B47"/>
    <w:rsid w:val="00FE3A84"/>
    <w:rsid w:val="00FF4538"/>
    <w:rsid w:val="00FF5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15:docId w15:val="{47F1DF6C-CE38-4D7B-8773-9CABE383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C6"/>
    <w:pPr>
      <w:tabs>
        <w:tab w:val="left" w:pos="3068"/>
      </w:tabs>
      <w:spacing w:after="0" w:line="480" w:lineRule="auto"/>
      <w:ind w:firstLine="720"/>
    </w:pPr>
    <w:rPr>
      <w:rFonts w:ascii="Times New Roman" w:hAnsi="Times New Roman" w:cs="Arial"/>
      <w:sz w:val="24"/>
      <w:szCs w:val="21"/>
      <w:shd w:val="clear" w:color="auto" w:fill="FFFFFF"/>
    </w:rPr>
  </w:style>
  <w:style w:type="paragraph" w:styleId="Heading1">
    <w:name w:val="heading 1"/>
    <w:basedOn w:val="Normal"/>
    <w:next w:val="Normal"/>
    <w:link w:val="Heading1Char"/>
    <w:uiPriority w:val="9"/>
    <w:qFormat/>
    <w:rsid w:val="00726ABA"/>
    <w:pPr>
      <w:tabs>
        <w:tab w:val="clear" w:pos="3068"/>
      </w:tabs>
      <w:ind w:firstLine="0"/>
      <w:jc w:val="center"/>
      <w:outlineLvl w:val="0"/>
    </w:pPr>
    <w:rPr>
      <w:rFonts w:cstheme="minorHAnsi"/>
      <w:b/>
      <w:szCs w:val="22"/>
    </w:rPr>
  </w:style>
  <w:style w:type="paragraph" w:styleId="Heading2">
    <w:name w:val="heading 2"/>
    <w:basedOn w:val="Normal"/>
    <w:next w:val="Normal"/>
    <w:link w:val="Heading2Char"/>
    <w:uiPriority w:val="9"/>
    <w:unhideWhenUsed/>
    <w:qFormat/>
    <w:rsid w:val="00726ABA"/>
    <w:pPr>
      <w:tabs>
        <w:tab w:val="clear" w:pos="3068"/>
      </w:tabs>
      <w:ind w:firstLine="0"/>
      <w:outlineLvl w:val="1"/>
    </w:pPr>
    <w:rPr>
      <w:rFonts w:cstheme="minorHAnsi"/>
      <w:b/>
      <w:szCs w:val="22"/>
    </w:rPr>
  </w:style>
  <w:style w:type="paragraph" w:styleId="Heading3">
    <w:name w:val="heading 3"/>
    <w:basedOn w:val="Normal"/>
    <w:next w:val="Normal"/>
    <w:link w:val="Heading3Char"/>
    <w:uiPriority w:val="9"/>
    <w:unhideWhenUsed/>
    <w:qFormat/>
    <w:rsid w:val="00726ABA"/>
    <w:pPr>
      <w:ind w:firstLine="0"/>
      <w:outlineLvl w:val="2"/>
    </w:pPr>
    <w:rPr>
      <w:rFonts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paragraph" w:styleId="Heading6">
    <w:name w:val="heading 6"/>
    <w:basedOn w:val="Normal"/>
    <w:next w:val="Normal"/>
    <w:link w:val="Heading6Char"/>
    <w:uiPriority w:val="9"/>
    <w:unhideWhenUsed/>
    <w:rsid w:val="00726ABA"/>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26ABA"/>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726ABA"/>
    <w:rPr>
      <w:rFonts w:ascii="Times New Roman" w:hAnsi="Times New Roman" w:cstheme="minorHAnsi"/>
      <w:b/>
    </w:rPr>
  </w:style>
  <w:style w:type="character" w:customStyle="1" w:styleId="Heading1Char">
    <w:name w:val="Heading 1 Char"/>
    <w:basedOn w:val="DefaultParagraphFont"/>
    <w:link w:val="Heading1"/>
    <w:uiPriority w:val="9"/>
    <w:rsid w:val="00726ABA"/>
    <w:rPr>
      <w:rFonts w:ascii="Times New Roman" w:hAnsi="Times New Roman" w:cstheme="minorHAnsi"/>
      <w:b/>
    </w:rPr>
  </w:style>
  <w:style w:type="character" w:customStyle="1" w:styleId="Heading3Char">
    <w:name w:val="Heading 3 Char"/>
    <w:basedOn w:val="DefaultParagraphFont"/>
    <w:link w:val="Heading3"/>
    <w:uiPriority w:val="9"/>
    <w:rsid w:val="00726ABA"/>
    <w:rPr>
      <w:rFonts w:ascii="Times New Roman" w:hAnsi="Times New Roman"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726ABA"/>
  </w:style>
  <w:style w:type="character" w:customStyle="1" w:styleId="TitleChar">
    <w:name w:val="Title Char"/>
    <w:basedOn w:val="DefaultParagraphFont"/>
    <w:link w:val="Title"/>
    <w:uiPriority w:val="10"/>
    <w:rsid w:val="00726ABA"/>
    <w:rPr>
      <w:rFonts w:ascii="Times New Roman" w:hAnsi="Times New Roman" w:cstheme="minorHAnsi"/>
      <w:b/>
    </w:rPr>
  </w:style>
  <w:style w:type="paragraph" w:styleId="Quote">
    <w:name w:val="Quote"/>
    <w:basedOn w:val="Normal"/>
    <w:next w:val="Normal"/>
    <w:link w:val="QuoteChar"/>
    <w:autoRedefine/>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paragraph" w:styleId="NoSpacing">
    <w:name w:val="No Spacing"/>
    <w:uiPriority w:val="1"/>
    <w:rsid w:val="00726ABA"/>
    <w:pPr>
      <w:tabs>
        <w:tab w:val="left" w:pos="3068"/>
      </w:tabs>
      <w:spacing w:after="0" w:line="240" w:lineRule="auto"/>
      <w:ind w:firstLine="720"/>
    </w:pPr>
    <w:rPr>
      <w:rFonts w:ascii="Times New Roman" w:hAnsi="Times New Roman" w:cs="Arial"/>
      <w:sz w:val="24"/>
      <w:szCs w:val="21"/>
      <w:shd w:val="clear" w:color="auto" w:fill="FFFFFF"/>
    </w:rPr>
  </w:style>
  <w:style w:type="character" w:customStyle="1" w:styleId="Heading6Char">
    <w:name w:val="Heading 6 Char"/>
    <w:basedOn w:val="DefaultParagraphFont"/>
    <w:link w:val="Heading6"/>
    <w:uiPriority w:val="9"/>
    <w:rsid w:val="00726ABA"/>
    <w:rPr>
      <w:rFonts w:ascii="Times New Roman" w:eastAsiaTheme="majorEastAsia" w:hAnsi="Times New Roman" w:cstheme="majorBidi"/>
      <w:color w:val="1F3763" w:themeColor="accent1" w:themeShade="7F"/>
      <w:sz w:val="24"/>
      <w:szCs w:val="21"/>
    </w:rPr>
  </w:style>
  <w:style w:type="character" w:customStyle="1" w:styleId="Heading7Char">
    <w:name w:val="Heading 7 Char"/>
    <w:basedOn w:val="DefaultParagraphFont"/>
    <w:link w:val="Heading7"/>
    <w:uiPriority w:val="9"/>
    <w:semiHidden/>
    <w:rsid w:val="00726ABA"/>
    <w:rPr>
      <w:rFonts w:ascii="Times New Roman" w:eastAsiaTheme="majorEastAsia" w:hAnsi="Times New Roman" w:cstheme="majorBidi"/>
      <w:i/>
      <w:iCs/>
      <w:color w:val="1F3763" w:themeColor="accent1" w:themeShade="7F"/>
      <w:sz w:val="24"/>
      <w:szCs w:val="21"/>
    </w:rPr>
  </w:style>
  <w:style w:type="character" w:styleId="Emphasis">
    <w:name w:val="Emphasis"/>
    <w:basedOn w:val="DefaultParagraphFont"/>
    <w:uiPriority w:val="20"/>
    <w:qFormat/>
    <w:rsid w:val="00514109"/>
    <w:rPr>
      <w:i/>
      <w:iCs/>
    </w:rPr>
  </w:style>
  <w:style w:type="character" w:styleId="UnresolvedMention">
    <w:name w:val="Unresolved Mention"/>
    <w:basedOn w:val="DefaultParagraphFont"/>
    <w:uiPriority w:val="99"/>
    <w:semiHidden/>
    <w:unhideWhenUsed/>
    <w:rsid w:val="0030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a0021524" TargetMode="External"/><Relationship Id="rId13" Type="http://schemas.openxmlformats.org/officeDocument/2006/relationships/hyperlink" Target="http://dx.doi.org/10.1126/science.aac47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37/pspa000008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f.io/preprints/psyarxiv/dvebm_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h0045186" TargetMode="External"/><Relationship Id="rId5" Type="http://schemas.openxmlformats.org/officeDocument/2006/relationships/webSettings" Target="webSettings.xml"/><Relationship Id="rId15" Type="http://schemas.openxmlformats.org/officeDocument/2006/relationships/hyperlink" Target="https://doi.org/10.1037/a0029487" TargetMode="External"/><Relationship Id="rId10" Type="http://schemas.openxmlformats.org/officeDocument/2006/relationships/hyperlink" Target="https://psycnet.apa.org/doi/10.1037/pspa00004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037/a0021524" TargetMode="External"/><Relationship Id="rId14" Type="http://schemas.openxmlformats.org/officeDocument/2006/relationships/hyperlink" Target="https://psycnet.apa.org/doi/10.1080/0269993004200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14</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Schimmack</dc:creator>
  <cp:keywords/>
  <dc:description/>
  <cp:lastModifiedBy>Ulrich Schimmack</cp:lastModifiedBy>
  <cp:revision>11</cp:revision>
  <dcterms:created xsi:type="dcterms:W3CDTF">2026-05-07T16:49:00Z</dcterms:created>
  <dcterms:modified xsi:type="dcterms:W3CDTF">2026-05-07T17:00:00Z</dcterms:modified>
</cp:coreProperties>
</file>